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19B22" w14:textId="25C7EB96" w:rsidR="00507B2C" w:rsidRDefault="00507B2C" w:rsidP="00547EC8">
      <w:pPr>
        <w:rPr>
          <w:rFonts w:asciiTheme="minorBidi" w:hAnsiTheme="minorBidi"/>
          <w:b/>
          <w:bCs/>
          <w:sz w:val="40"/>
          <w:szCs w:val="40"/>
        </w:rPr>
      </w:pPr>
      <w:r>
        <w:rPr>
          <w:rFonts w:asciiTheme="minorBidi" w:hAnsiTheme="minorBidi"/>
          <w:b/>
          <w:bCs/>
          <w:noProof/>
          <w:sz w:val="40"/>
          <w:szCs w:val="40"/>
        </w:rPr>
        <w:drawing>
          <wp:anchor distT="0" distB="0" distL="114300" distR="114300" simplePos="0" relativeHeight="251659264" behindDoc="0" locked="0" layoutInCell="1" allowOverlap="1" wp14:anchorId="01A5A865" wp14:editId="31B088C1">
            <wp:simplePos x="0" y="0"/>
            <wp:positionH relativeFrom="column">
              <wp:posOffset>-635</wp:posOffset>
            </wp:positionH>
            <wp:positionV relativeFrom="paragraph">
              <wp:posOffset>447040</wp:posOffset>
            </wp:positionV>
            <wp:extent cx="6388100" cy="7976235"/>
            <wp:effectExtent l="0" t="0" r="0" b="0"/>
            <wp:wrapTopAndBottom/>
            <wp:docPr id="6741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0539" name="Picture 67410539"/>
                    <pic:cNvPicPr/>
                  </pic:nvPicPr>
                  <pic:blipFill>
                    <a:blip r:embed="rId5">
                      <a:extLst>
                        <a:ext uri="{28A0092B-C50C-407E-A947-70E740481C1C}">
                          <a14:useLocalDpi xmlns:a14="http://schemas.microsoft.com/office/drawing/2010/main" val="0"/>
                        </a:ext>
                      </a:extLst>
                    </a:blip>
                    <a:stretch>
                      <a:fillRect/>
                    </a:stretch>
                  </pic:blipFill>
                  <pic:spPr>
                    <a:xfrm>
                      <a:off x="0" y="0"/>
                      <a:ext cx="6388100" cy="7976235"/>
                    </a:xfrm>
                    <a:prstGeom prst="rect">
                      <a:avLst/>
                    </a:prstGeom>
                  </pic:spPr>
                </pic:pic>
              </a:graphicData>
            </a:graphic>
            <wp14:sizeRelH relativeFrom="margin">
              <wp14:pctWidth>0</wp14:pctWidth>
            </wp14:sizeRelH>
            <wp14:sizeRelV relativeFrom="margin">
              <wp14:pctHeight>0</wp14:pctHeight>
            </wp14:sizeRelV>
          </wp:anchor>
        </w:drawing>
      </w:r>
    </w:p>
    <w:p w14:paraId="1953852F" w14:textId="77777777" w:rsidR="00507B2C" w:rsidRDefault="00507B2C" w:rsidP="00547EC8">
      <w:pPr>
        <w:rPr>
          <w:rFonts w:asciiTheme="minorBidi" w:hAnsiTheme="minorBidi"/>
          <w:b/>
          <w:bCs/>
          <w:sz w:val="40"/>
          <w:szCs w:val="40"/>
        </w:rPr>
      </w:pPr>
    </w:p>
    <w:p w14:paraId="6ADFE26E" w14:textId="77777777" w:rsidR="00507B2C" w:rsidRDefault="00507B2C" w:rsidP="00547EC8">
      <w:pPr>
        <w:rPr>
          <w:rFonts w:asciiTheme="minorBidi" w:hAnsiTheme="minorBidi"/>
          <w:b/>
          <w:bCs/>
          <w:sz w:val="40"/>
          <w:szCs w:val="40"/>
        </w:rPr>
      </w:pPr>
    </w:p>
    <w:p w14:paraId="24A5F419" w14:textId="77777777" w:rsidR="00507B2C" w:rsidRDefault="00507B2C" w:rsidP="00547EC8">
      <w:pPr>
        <w:rPr>
          <w:rFonts w:asciiTheme="minorBidi" w:hAnsiTheme="minorBidi"/>
          <w:b/>
          <w:bCs/>
          <w:sz w:val="40"/>
          <w:szCs w:val="40"/>
        </w:rPr>
      </w:pPr>
    </w:p>
    <w:p w14:paraId="38869CFA" w14:textId="77777777" w:rsidR="00507B2C" w:rsidRDefault="00507B2C" w:rsidP="00547EC8">
      <w:pPr>
        <w:rPr>
          <w:rFonts w:asciiTheme="minorBidi" w:hAnsiTheme="minorBidi"/>
          <w:b/>
          <w:bCs/>
          <w:sz w:val="40"/>
          <w:szCs w:val="40"/>
        </w:rPr>
      </w:pPr>
    </w:p>
    <w:p w14:paraId="1801F569" w14:textId="77777777" w:rsidR="00507B2C" w:rsidRDefault="00507B2C" w:rsidP="00547EC8">
      <w:pPr>
        <w:rPr>
          <w:rFonts w:asciiTheme="minorBidi" w:hAnsiTheme="minorBidi"/>
          <w:b/>
          <w:bCs/>
          <w:sz w:val="40"/>
          <w:szCs w:val="40"/>
        </w:rPr>
      </w:pPr>
    </w:p>
    <w:p w14:paraId="4B7AEFA6" w14:textId="1F40E79B" w:rsidR="00547EC8" w:rsidRPr="00547EC8" w:rsidRDefault="00547EC8" w:rsidP="00547EC8">
      <w:pPr>
        <w:rPr>
          <w:rFonts w:asciiTheme="minorBidi" w:hAnsiTheme="minorBidi"/>
          <w:b/>
          <w:bCs/>
          <w:sz w:val="40"/>
          <w:szCs w:val="40"/>
        </w:rPr>
      </w:pPr>
      <w:r w:rsidRPr="00547EC8">
        <w:rPr>
          <w:rFonts w:asciiTheme="minorBidi" w:hAnsiTheme="minorBidi"/>
          <w:b/>
          <w:bCs/>
          <w:sz w:val="40"/>
          <w:szCs w:val="40"/>
        </w:rPr>
        <w:t>Empowering the Global Student Voice:</w:t>
      </w:r>
    </w:p>
    <w:p w14:paraId="46489B3B" w14:textId="77777777" w:rsidR="00547EC8" w:rsidRPr="00547EC8" w:rsidRDefault="00547EC8" w:rsidP="00547EC8">
      <w:pPr>
        <w:rPr>
          <w:rFonts w:asciiTheme="minorBidi" w:hAnsiTheme="minorBidi"/>
        </w:rPr>
      </w:pPr>
      <w:r w:rsidRPr="00547EC8">
        <w:rPr>
          <w:rFonts w:asciiTheme="minorBidi" w:hAnsiTheme="minorBidi"/>
        </w:rPr>
        <w:t>A SMART Framework for Sustainability and Artificial Intelligence**</w:t>
      </w:r>
    </w:p>
    <w:p w14:paraId="7A9D38B1" w14:textId="77777777" w:rsidR="0037075D" w:rsidRPr="00547EC8" w:rsidRDefault="0037075D" w:rsidP="0037075D">
      <w:pPr>
        <w:rPr>
          <w:rFonts w:asciiTheme="minorBidi" w:hAnsiTheme="minorBidi"/>
        </w:rPr>
      </w:pPr>
    </w:p>
    <w:p w14:paraId="7C94CB78"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Abstract</w:t>
      </w:r>
    </w:p>
    <w:p w14:paraId="1ED9B8F0" w14:textId="7BEEBAF8" w:rsidR="0037075D" w:rsidRPr="0037075D" w:rsidRDefault="0037075D" w:rsidP="002D507C">
      <w:pPr>
        <w:ind w:firstLine="720"/>
        <w:rPr>
          <w:rFonts w:asciiTheme="minorBidi" w:hAnsiTheme="minorBidi"/>
        </w:rPr>
      </w:pPr>
      <w:r w:rsidRPr="0037075D">
        <w:rPr>
          <w:rFonts w:asciiTheme="minorBidi" w:hAnsiTheme="minorBidi"/>
        </w:rPr>
        <w:t>Higher education is increasingly confronted with a world that no longer reflects the conditions under which its structures were originally developed. Climate instability, the rapid advancement of artificial intelligence, and widening global inequalities are not isolated challenges; they are interconnected forces reshaping how knowledge is created, applied, and valued. In this context, the traditional function of education as the transmission of stable bodies of knowledge is no longer sufficient. What is required instead is a reorientation towards forms of learning that enable students to act within evolving and uncertain conditions, rather than merely understand them</w:t>
      </w:r>
      <w:r w:rsidR="007B2227">
        <w:rPr>
          <w:rFonts w:asciiTheme="minorBidi" w:hAnsiTheme="minorBidi"/>
        </w:rPr>
        <w:t>?</w:t>
      </w:r>
    </w:p>
    <w:p w14:paraId="219894CC" w14:textId="373ED10B" w:rsidR="0037075D" w:rsidRPr="0037075D" w:rsidRDefault="0037075D" w:rsidP="002D507C">
      <w:pPr>
        <w:ind w:firstLine="720"/>
        <w:rPr>
          <w:rFonts w:asciiTheme="minorBidi" w:hAnsiTheme="minorBidi"/>
        </w:rPr>
      </w:pPr>
      <w:r w:rsidRPr="0037075D">
        <w:rPr>
          <w:rFonts w:asciiTheme="minorBidi" w:hAnsiTheme="minorBidi"/>
        </w:rPr>
        <w:t xml:space="preserve">This study begins from the premise that a significant gap exists between what education provides and what contemporary realities demand. While students continue to be assessed on their ability to recall and reproduce information, the environments in which they must operate increasingly require interpretation, adaptability, and decision-making under conditions of complexity. Artificial intelligence has intensified this shift by transforming knowledge into something that is not only accessible but dynamically generated, reducing the value of memorisation while increasing the importance of application. </w:t>
      </w:r>
      <w:r w:rsidR="002D507C" w:rsidRPr="007B2227">
        <w:rPr>
          <w:rFonts w:asciiTheme="minorBidi" w:hAnsiTheme="minorBidi"/>
        </w:rPr>
        <w:t>Consequently</w:t>
      </w:r>
      <w:r w:rsidRPr="0037075D">
        <w:rPr>
          <w:rFonts w:asciiTheme="minorBidi" w:hAnsiTheme="minorBidi"/>
        </w:rPr>
        <w:t>, the persistence of passive models of learning represents not only a pedagogical limitation but a structural risk.</w:t>
      </w:r>
    </w:p>
    <w:p w14:paraId="75912621" w14:textId="1C339AE2" w:rsidR="0037075D" w:rsidRPr="0037075D" w:rsidRDefault="0037075D" w:rsidP="002D507C">
      <w:pPr>
        <w:ind w:firstLine="720"/>
        <w:rPr>
          <w:rFonts w:asciiTheme="minorBidi" w:hAnsiTheme="minorBidi"/>
        </w:rPr>
      </w:pPr>
      <w:r w:rsidRPr="0037075D">
        <w:rPr>
          <w:rFonts w:asciiTheme="minorBidi" w:hAnsiTheme="minorBidi"/>
        </w:rPr>
        <w:t xml:space="preserve">To address this problem, this work develops a conceptual and practical framework for repositioning the student within the educational process. Rather than treating students as recipients of knowledge, it argues for their recognition as active participants capable of contributing to the resolution of real-world challenges. This shift is grounded in the view that education should not be separated from the contexts in which knowledge is </w:t>
      </w:r>
      <w:r w:rsidRPr="007B2227">
        <w:rPr>
          <w:rFonts w:asciiTheme="minorBidi" w:hAnsiTheme="minorBidi"/>
        </w:rPr>
        <w:t>used but</w:t>
      </w:r>
      <w:r w:rsidRPr="0037075D">
        <w:rPr>
          <w:rFonts w:asciiTheme="minorBidi" w:hAnsiTheme="minorBidi"/>
        </w:rPr>
        <w:t xml:space="preserve"> should instead create structured opportunities for engagement with those contexts.</w:t>
      </w:r>
    </w:p>
    <w:p w14:paraId="5C70BFE4" w14:textId="040D3407" w:rsidR="0037075D" w:rsidRPr="0037075D" w:rsidRDefault="0037075D" w:rsidP="0037075D">
      <w:pPr>
        <w:rPr>
          <w:rFonts w:asciiTheme="minorBidi" w:hAnsiTheme="minorBidi"/>
        </w:rPr>
      </w:pPr>
      <w:r w:rsidRPr="0037075D">
        <w:rPr>
          <w:rFonts w:asciiTheme="minorBidi" w:hAnsiTheme="minorBidi"/>
        </w:rPr>
        <w:lastRenderedPageBreak/>
        <w:t xml:space="preserve">The central contribution of the study is the articulation of a SMART </w:t>
      </w:r>
      <w:r w:rsidR="00272477" w:rsidRPr="007B2227">
        <w:rPr>
          <w:rFonts w:asciiTheme="minorBidi" w:hAnsiTheme="minorBidi"/>
        </w:rPr>
        <w:t>framework (</w:t>
      </w:r>
      <w:r w:rsidR="002D507C" w:rsidRPr="007B2227">
        <w:rPr>
          <w:rFonts w:asciiTheme="minorBidi" w:hAnsiTheme="minorBidi"/>
        </w:rPr>
        <w:t>Specific</w:t>
      </w:r>
      <w:r w:rsidRPr="0037075D">
        <w:rPr>
          <w:rFonts w:asciiTheme="minorBidi" w:hAnsiTheme="minorBidi"/>
        </w:rPr>
        <w:t>, Measurable, Achievable, Relevant, and Time-bound</w:t>
      </w:r>
      <w:r w:rsidR="002D507C" w:rsidRPr="007B2227">
        <w:rPr>
          <w:rFonts w:asciiTheme="minorBidi" w:hAnsiTheme="minorBidi"/>
        </w:rPr>
        <w:t xml:space="preserve">) </w:t>
      </w:r>
      <w:r w:rsidRPr="0037075D">
        <w:rPr>
          <w:rFonts w:asciiTheme="minorBidi" w:hAnsiTheme="minorBidi"/>
        </w:rPr>
        <w:t>as a method for organising such engagement. The framework is not introduced as a technical tool in a narrow sense, but as a way of bringing clarity and structure to student-led inquiry and action. By encouraging precise problem definition, evidence-based assessment, manageable scope, contextual sensitivity, and temporal discipline, it provides a foundation through which students can approach complex sustainability challenges in a systematic manner.</w:t>
      </w:r>
    </w:p>
    <w:p w14:paraId="6C7E6A10" w14:textId="31D3286C" w:rsidR="0037075D" w:rsidRPr="0037075D" w:rsidRDefault="0037075D" w:rsidP="002D507C">
      <w:pPr>
        <w:ind w:firstLine="720"/>
        <w:rPr>
          <w:rFonts w:asciiTheme="minorBidi" w:hAnsiTheme="minorBidi"/>
        </w:rPr>
      </w:pPr>
      <w:r w:rsidRPr="0037075D">
        <w:rPr>
          <w:rFonts w:asciiTheme="minorBidi" w:hAnsiTheme="minorBidi"/>
        </w:rPr>
        <w:t xml:space="preserve">The analysis is supported by empirical examples drawn from international initiatives, including the GOGO Teachers’ Association project and the Future17 programme, both of which demonstrate how structured student involvement can lead to measurable outcomes. These cases illustrate that when students are given access to appropriate tools and are guided by clear frameworks, they </w:t>
      </w:r>
      <w:r w:rsidRPr="007B2227">
        <w:rPr>
          <w:rFonts w:asciiTheme="minorBidi" w:hAnsiTheme="minorBidi"/>
        </w:rPr>
        <w:t>can</w:t>
      </w:r>
      <w:r w:rsidRPr="0037075D">
        <w:rPr>
          <w:rFonts w:asciiTheme="minorBidi" w:hAnsiTheme="minorBidi"/>
        </w:rPr>
        <w:t xml:space="preserve"> translate knowledge into action and to contribute meaningfully to environmental and social outcomes.</w:t>
      </w:r>
    </w:p>
    <w:p w14:paraId="48B7D8A8" w14:textId="77777777" w:rsidR="0037075D" w:rsidRPr="0037075D" w:rsidRDefault="0037075D" w:rsidP="0037075D">
      <w:pPr>
        <w:rPr>
          <w:rFonts w:asciiTheme="minorBidi" w:hAnsiTheme="minorBidi"/>
        </w:rPr>
      </w:pPr>
      <w:r w:rsidRPr="0037075D">
        <w:rPr>
          <w:rFonts w:asciiTheme="minorBidi" w:hAnsiTheme="minorBidi"/>
        </w:rPr>
        <w:t>The argument advanced in this work is that the transformation of education is not optional but necessary. Empowering the student is not simply a pedagogical innovation; it is a condition for ensuring that education remains relevant in a rapidly changing world. By enabling students to act, rather than merely to learn, higher education can begin to align itself more closely with the demands of the present and the uncertainties of the future.</w:t>
      </w:r>
    </w:p>
    <w:p w14:paraId="63E75616" w14:textId="77777777" w:rsidR="0037075D" w:rsidRPr="00547EC8" w:rsidRDefault="0037075D" w:rsidP="0037075D">
      <w:pPr>
        <w:rPr>
          <w:rFonts w:asciiTheme="minorBidi" w:hAnsiTheme="minorBidi"/>
        </w:rPr>
      </w:pPr>
    </w:p>
    <w:p w14:paraId="1035DCEC" w14:textId="6C927239" w:rsidR="007B2227" w:rsidRPr="007B2227" w:rsidRDefault="0037075D" w:rsidP="007B2227">
      <w:pPr>
        <w:rPr>
          <w:rFonts w:asciiTheme="minorBidi" w:hAnsiTheme="minorBidi"/>
          <w:b/>
          <w:bCs/>
          <w:sz w:val="40"/>
          <w:szCs w:val="40"/>
        </w:rPr>
      </w:pPr>
      <w:r w:rsidRPr="00547EC8">
        <w:rPr>
          <w:rFonts w:asciiTheme="minorBidi" w:hAnsiTheme="minorBidi"/>
          <w:b/>
          <w:bCs/>
          <w:sz w:val="40"/>
          <w:szCs w:val="40"/>
        </w:rPr>
        <w:t>PART I: E</w:t>
      </w:r>
      <w:r w:rsidR="007B2227" w:rsidRPr="007B2227">
        <w:rPr>
          <w:rFonts w:asciiTheme="minorBidi" w:hAnsiTheme="minorBidi"/>
          <w:b/>
          <w:bCs/>
          <w:sz w:val="40"/>
          <w:szCs w:val="40"/>
        </w:rPr>
        <w:t>ducation In Conditions of Change Structures.</w:t>
      </w:r>
    </w:p>
    <w:p w14:paraId="0AD8F78B" w14:textId="77777777" w:rsidR="007B2227" w:rsidRPr="007B2227" w:rsidRDefault="007B2227" w:rsidP="007B2227">
      <w:pPr>
        <w:rPr>
          <w:rFonts w:asciiTheme="minorBidi" w:hAnsiTheme="minorBidi"/>
          <w:b/>
          <w:bCs/>
          <w:sz w:val="40"/>
          <w:szCs w:val="40"/>
        </w:rPr>
      </w:pPr>
    </w:p>
    <w:p w14:paraId="69ECDCAB" w14:textId="6E803539" w:rsidR="0037075D" w:rsidRPr="0037075D" w:rsidRDefault="0037075D" w:rsidP="0037075D">
      <w:pPr>
        <w:rPr>
          <w:rFonts w:asciiTheme="minorBidi" w:hAnsiTheme="minorBidi"/>
          <w:b/>
          <w:bCs/>
          <w:sz w:val="40"/>
          <w:szCs w:val="40"/>
        </w:rPr>
      </w:pPr>
      <w:r w:rsidRPr="0037075D">
        <w:rPr>
          <w:rFonts w:asciiTheme="minorBidi" w:hAnsiTheme="minorBidi"/>
          <w:b/>
          <w:bCs/>
          <w:sz w:val="40"/>
          <w:szCs w:val="40"/>
        </w:rPr>
        <w:t xml:space="preserve">Chapter 1: Changing Realities and Fixed Structures </w:t>
      </w:r>
    </w:p>
    <w:p w14:paraId="3EDA6A28" w14:textId="77777777" w:rsidR="0037075D" w:rsidRPr="0037075D" w:rsidRDefault="0037075D" w:rsidP="002D507C">
      <w:pPr>
        <w:ind w:firstLine="720"/>
        <w:rPr>
          <w:rFonts w:asciiTheme="minorBidi" w:hAnsiTheme="minorBidi"/>
        </w:rPr>
      </w:pPr>
      <w:r w:rsidRPr="0037075D">
        <w:rPr>
          <w:rFonts w:asciiTheme="minorBidi" w:hAnsiTheme="minorBidi"/>
        </w:rPr>
        <w:t>Higher education today exists within a landscape that has altered more rapidly than the institutions designed to support it. Environmental change, technological development, and persistent inequalities do not emerge as isolated pressures but as overlapping forces that continuously reshape social and economic conditions. These changes affect not only how knowledge is produced but also how it is valued and applied in practice.</w:t>
      </w:r>
    </w:p>
    <w:p w14:paraId="7A8CF4C2" w14:textId="718FAE96" w:rsidR="0037075D" w:rsidRPr="0037075D" w:rsidRDefault="0037075D" w:rsidP="007E072C">
      <w:pPr>
        <w:ind w:firstLine="720"/>
        <w:rPr>
          <w:rFonts w:asciiTheme="minorBidi" w:hAnsiTheme="minorBidi"/>
        </w:rPr>
      </w:pPr>
      <w:r w:rsidRPr="0037075D">
        <w:rPr>
          <w:rFonts w:asciiTheme="minorBidi" w:hAnsiTheme="minorBidi"/>
        </w:rPr>
        <w:t xml:space="preserve">Climate change, once treated as a distant concern, now shapes policy, industry, and everyday life. At the same time, artificial intelligence has transformed the nature of knowledge itself, making information widely accessible while shifting </w:t>
      </w:r>
      <w:r w:rsidRPr="0037075D">
        <w:rPr>
          <w:rFonts w:asciiTheme="minorBidi" w:hAnsiTheme="minorBidi"/>
        </w:rPr>
        <w:lastRenderedPageBreak/>
        <w:t>emphasis toward interpretation, judgement, and application. As these developments accelerate, the demands placed upon graduates become more complex and less predictable.</w:t>
      </w:r>
      <w:r w:rsidR="007E072C">
        <w:rPr>
          <w:rFonts w:asciiTheme="minorBidi" w:hAnsiTheme="minorBidi"/>
        </w:rPr>
        <w:t xml:space="preserve"> </w:t>
      </w:r>
      <w:r w:rsidRPr="0037075D">
        <w:rPr>
          <w:rFonts w:asciiTheme="minorBidi" w:hAnsiTheme="minorBidi"/>
        </w:rPr>
        <w:t>Despite these shifts, the internal organisation of education remains relatively stable. Teaching structures, assessment methods, and curriculum design continue to reflect earlier assumptions about knowledge as something fixed and transferable. This creates a tension between the conditions in which students are trained and those in which they are expected to operate.</w:t>
      </w:r>
      <w:r w:rsidR="00154B7E" w:rsidRPr="007B2227">
        <w:rPr>
          <w:rFonts w:asciiTheme="minorBidi" w:hAnsiTheme="minorBidi"/>
        </w:rPr>
        <w:t xml:space="preserve"> </w:t>
      </w:r>
      <w:r w:rsidRPr="0037075D">
        <w:rPr>
          <w:rFonts w:asciiTheme="minorBidi" w:hAnsiTheme="minorBidi"/>
        </w:rPr>
        <w:t>The result is a growing disconnection between education and reality. Addressing this gap requires not only adjustment of content, but a reconsideration of how education itself is structured and understood.</w:t>
      </w:r>
    </w:p>
    <w:p w14:paraId="6A249C50" w14:textId="77777777" w:rsidR="0037075D" w:rsidRPr="00547EC8" w:rsidRDefault="0037075D" w:rsidP="0037075D">
      <w:pPr>
        <w:rPr>
          <w:rFonts w:asciiTheme="minorBidi" w:hAnsiTheme="minorBidi"/>
        </w:rPr>
      </w:pPr>
    </w:p>
    <w:p w14:paraId="198DA8F8"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1.1 Knowledge and Its Limits</w:t>
      </w:r>
    </w:p>
    <w:p w14:paraId="6A97E7E4" w14:textId="77777777" w:rsidR="0037075D" w:rsidRPr="00547EC8" w:rsidRDefault="0037075D" w:rsidP="002D507C">
      <w:pPr>
        <w:ind w:firstLine="720"/>
        <w:rPr>
          <w:rFonts w:asciiTheme="minorBidi" w:hAnsiTheme="minorBidi"/>
        </w:rPr>
      </w:pPr>
      <w:r w:rsidRPr="00547EC8">
        <w:rPr>
          <w:rFonts w:asciiTheme="minorBidi" w:hAnsiTheme="minorBidi"/>
        </w:rPr>
        <w:t>The central purpose of education has traditionally been the transmission of knowledge. This approach assumes that knowledge can be acquired, retained, and later applied in professional or social contexts. However, the conditions under which knowledge is used have shifted.</w:t>
      </w:r>
    </w:p>
    <w:p w14:paraId="2809691E" w14:textId="2F4D3993" w:rsidR="0037075D" w:rsidRPr="00547EC8" w:rsidRDefault="0037075D" w:rsidP="00154B7E">
      <w:pPr>
        <w:ind w:firstLine="720"/>
        <w:rPr>
          <w:rFonts w:asciiTheme="minorBidi" w:hAnsiTheme="minorBidi"/>
        </w:rPr>
      </w:pPr>
      <w:r w:rsidRPr="00547EC8">
        <w:rPr>
          <w:rFonts w:asciiTheme="minorBidi" w:hAnsiTheme="minorBidi"/>
        </w:rPr>
        <w:t>Artificial intelligence systems now perform many tasks related to information processing more efficiently than humans. This changes what it means to be knowledgeable. The ability to recall information is no longer sufficient; the critical capacity lies in interpreting information, evaluating its relevance, and applying it effectively.</w:t>
      </w:r>
      <w:r w:rsidRPr="007B2227">
        <w:rPr>
          <w:rFonts w:asciiTheme="minorBidi" w:hAnsiTheme="minorBidi"/>
        </w:rPr>
        <w:t xml:space="preserve"> </w:t>
      </w:r>
      <w:r w:rsidRPr="00547EC8">
        <w:rPr>
          <w:rFonts w:asciiTheme="minorBidi" w:hAnsiTheme="minorBidi"/>
        </w:rPr>
        <w:t>When education focuses primarily on recall, it risks producing individuals who understand concepts in isolation but are less prepared to engage with complex, changing situations. In fields such as sustainability, this limitation is particularly evident. Awareness of environmental issues does not automatically lead to action, nor does theoretical understanding ensure the ability to design solutions.</w:t>
      </w:r>
    </w:p>
    <w:p w14:paraId="0C127DBE" w14:textId="77777777" w:rsidR="0037075D" w:rsidRPr="00547EC8" w:rsidRDefault="0037075D" w:rsidP="0037075D">
      <w:pPr>
        <w:rPr>
          <w:rFonts w:asciiTheme="minorBidi" w:hAnsiTheme="minorBidi"/>
        </w:rPr>
      </w:pPr>
    </w:p>
    <w:p w14:paraId="55CDBF86" w14:textId="15F15225" w:rsidR="00B47830" w:rsidRPr="00B47830" w:rsidRDefault="0037075D" w:rsidP="00B47830">
      <w:pPr>
        <w:rPr>
          <w:rFonts w:asciiTheme="minorBidi" w:hAnsiTheme="minorBidi"/>
          <w:b/>
          <w:bCs/>
          <w:sz w:val="40"/>
          <w:szCs w:val="40"/>
        </w:rPr>
      </w:pPr>
      <w:r w:rsidRPr="00547EC8">
        <w:rPr>
          <w:rFonts w:asciiTheme="minorBidi" w:hAnsiTheme="minorBidi"/>
          <w:b/>
          <w:bCs/>
          <w:sz w:val="40"/>
          <w:szCs w:val="40"/>
        </w:rPr>
        <w:t>1.2 Institutional Time and Social Time</w:t>
      </w:r>
    </w:p>
    <w:p w14:paraId="51396752" w14:textId="77777777" w:rsidR="00B47830" w:rsidRPr="00B47830" w:rsidRDefault="00B47830" w:rsidP="00154B7E">
      <w:pPr>
        <w:ind w:firstLine="720"/>
        <w:rPr>
          <w:rFonts w:asciiTheme="minorBidi" w:hAnsiTheme="minorBidi"/>
        </w:rPr>
      </w:pPr>
      <w:r w:rsidRPr="00B47830">
        <w:rPr>
          <w:rFonts w:asciiTheme="minorBidi" w:hAnsiTheme="minorBidi"/>
        </w:rPr>
        <w:t>A central tension within higher education lies in the difference between institutional time and social time. Universities operate through structured processes designed to ensure continuity, coherence, and academic integrity. Curriculum development, programme validation, and assessment design follow established cycles that often extend over several years. While these processes maintain quality, they also create a degree of inertia.</w:t>
      </w:r>
    </w:p>
    <w:p w14:paraId="324A1D7C" w14:textId="575BE382" w:rsidR="00B47830" w:rsidRPr="00B47830" w:rsidRDefault="00B47830" w:rsidP="00154B7E">
      <w:pPr>
        <w:ind w:firstLine="720"/>
        <w:rPr>
          <w:rFonts w:asciiTheme="minorBidi" w:hAnsiTheme="minorBidi"/>
        </w:rPr>
      </w:pPr>
      <w:r w:rsidRPr="00B47830">
        <w:rPr>
          <w:rFonts w:asciiTheme="minorBidi" w:hAnsiTheme="minorBidi"/>
        </w:rPr>
        <w:t>In contrast, the wider social world evolves at a far more rapid pace. Technological systems are updated continuously, and environmental conditions shift in response to ongoing pressures. As a result, there is frequently a delay between the emergence of new realities and their integration into formal learning.</w:t>
      </w:r>
      <w:r w:rsidR="00154B7E" w:rsidRPr="007B2227">
        <w:rPr>
          <w:rFonts w:asciiTheme="minorBidi" w:hAnsiTheme="minorBidi"/>
        </w:rPr>
        <w:t xml:space="preserve"> </w:t>
      </w:r>
      <w:r w:rsidRPr="00B47830">
        <w:rPr>
          <w:rFonts w:asciiTheme="minorBidi" w:hAnsiTheme="minorBidi"/>
        </w:rPr>
        <w:t xml:space="preserve">This temporal disconnect means that students may be educated in frameworks that do </w:t>
      </w:r>
      <w:r w:rsidRPr="00B47830">
        <w:rPr>
          <w:rFonts w:asciiTheme="minorBidi" w:hAnsiTheme="minorBidi"/>
        </w:rPr>
        <w:lastRenderedPageBreak/>
        <w:t>not fully reflect the conditions they encounter. The relevance of education is therefore shaped not only by its content but by its responsiveness.</w:t>
      </w:r>
    </w:p>
    <w:p w14:paraId="124728FB" w14:textId="77777777" w:rsidR="0037075D" w:rsidRPr="00547EC8" w:rsidRDefault="0037075D" w:rsidP="0037075D">
      <w:pPr>
        <w:rPr>
          <w:rFonts w:asciiTheme="minorBidi" w:hAnsiTheme="minorBidi"/>
        </w:rPr>
      </w:pPr>
    </w:p>
    <w:p w14:paraId="4EFBDFB4"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1.3 Unequal Access to Adaptation</w:t>
      </w:r>
    </w:p>
    <w:p w14:paraId="2FC1D0E9" w14:textId="77777777" w:rsidR="0037075D" w:rsidRPr="00547EC8" w:rsidRDefault="0037075D" w:rsidP="00154B7E">
      <w:pPr>
        <w:ind w:firstLine="720"/>
        <w:rPr>
          <w:rFonts w:asciiTheme="minorBidi" w:hAnsiTheme="minorBidi"/>
        </w:rPr>
      </w:pPr>
      <w:r w:rsidRPr="00547EC8">
        <w:rPr>
          <w:rFonts w:asciiTheme="minorBidi" w:hAnsiTheme="minorBidi"/>
        </w:rPr>
        <w:t xml:space="preserve">The ability to respond to these challenges is unevenly distributed. Students with access to additional resources, such as digital tools or professional networks, may be better positioned to translate knowledge into practice. Others may rely more heavily on formal education as their primary source of preparation. </w:t>
      </w:r>
    </w:p>
    <w:p w14:paraId="57ACF1F6" w14:textId="402BCD25" w:rsidR="0037075D" w:rsidRPr="00547EC8" w:rsidRDefault="0037075D" w:rsidP="00154B7E">
      <w:pPr>
        <w:rPr>
          <w:rFonts w:asciiTheme="minorBidi" w:hAnsiTheme="minorBidi"/>
        </w:rPr>
      </w:pPr>
      <w:r w:rsidRPr="00547EC8">
        <w:rPr>
          <w:rFonts w:asciiTheme="minorBidi" w:hAnsiTheme="minorBidi"/>
        </w:rPr>
        <w:t>This creates a risk that education reinforces, rather than reduces, inequality. If the structure of learning does not support practical engagement, those without external opportunities may be disadvantaged.</w:t>
      </w:r>
      <w:r w:rsidR="00154B7E" w:rsidRPr="007B2227">
        <w:rPr>
          <w:rFonts w:asciiTheme="minorBidi" w:hAnsiTheme="minorBidi"/>
        </w:rPr>
        <w:t xml:space="preserve"> </w:t>
      </w:r>
      <w:r w:rsidRPr="00547EC8">
        <w:rPr>
          <w:rFonts w:asciiTheme="minorBidi" w:hAnsiTheme="minorBidi"/>
        </w:rPr>
        <w:t>The question that follows is therefore not only how education should change, but how it can be reorganised in ways that provide equitable opportunities for participation and action.</w:t>
      </w:r>
    </w:p>
    <w:p w14:paraId="20CB445C" w14:textId="77777777" w:rsidR="0037075D" w:rsidRPr="00547EC8" w:rsidRDefault="0037075D" w:rsidP="0037075D">
      <w:pPr>
        <w:rPr>
          <w:rFonts w:asciiTheme="minorBidi" w:hAnsiTheme="minorBidi"/>
        </w:rPr>
      </w:pPr>
    </w:p>
    <w:p w14:paraId="6FE00F44" w14:textId="79DF3E32" w:rsidR="0037075D" w:rsidRDefault="0037075D" w:rsidP="007B2227">
      <w:pPr>
        <w:rPr>
          <w:rFonts w:asciiTheme="minorBidi" w:hAnsiTheme="minorBidi"/>
          <w:b/>
          <w:bCs/>
          <w:sz w:val="40"/>
          <w:szCs w:val="40"/>
        </w:rPr>
      </w:pPr>
      <w:r w:rsidRPr="00547EC8">
        <w:rPr>
          <w:rFonts w:asciiTheme="minorBidi" w:hAnsiTheme="minorBidi"/>
          <w:b/>
          <w:bCs/>
          <w:sz w:val="40"/>
          <w:szCs w:val="40"/>
        </w:rPr>
        <w:t>Chapter 2: Reframing the Position of the Student</w:t>
      </w:r>
    </w:p>
    <w:p w14:paraId="45FFE15D" w14:textId="77777777" w:rsidR="007E072C" w:rsidRPr="00547EC8" w:rsidRDefault="007E072C" w:rsidP="007B2227">
      <w:pPr>
        <w:rPr>
          <w:rFonts w:asciiTheme="minorBidi" w:hAnsiTheme="minorBidi"/>
          <w:b/>
          <w:bCs/>
          <w:sz w:val="40"/>
          <w:szCs w:val="40"/>
        </w:rPr>
      </w:pPr>
    </w:p>
    <w:p w14:paraId="01B6990C"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2.1 Beyond Passive Roles</w:t>
      </w:r>
    </w:p>
    <w:p w14:paraId="240A0483" w14:textId="77777777" w:rsidR="00B47830" w:rsidRPr="00B47830" w:rsidRDefault="00B47830" w:rsidP="00154B7E">
      <w:pPr>
        <w:ind w:firstLine="720"/>
        <w:rPr>
          <w:rFonts w:asciiTheme="minorBidi" w:hAnsiTheme="minorBidi"/>
        </w:rPr>
      </w:pPr>
      <w:r w:rsidRPr="00B47830">
        <w:rPr>
          <w:rFonts w:asciiTheme="minorBidi" w:hAnsiTheme="minorBidi"/>
        </w:rPr>
        <w:t>The role of the student within higher education has traditionally been defined in relatively narrow terms. Students are expected to receive instruction, engage with prescribed materials, and demonstrate understanding through assessment. While these activities remain central to academic practice, they do not fully reflect the types of engagement required in contemporary contexts. As the conditions in which knowledge is applied become more complex, the limitations of this passive positioning become increasingly apparent.</w:t>
      </w:r>
    </w:p>
    <w:p w14:paraId="2F5BE1DE" w14:textId="77777777" w:rsidR="00B47830" w:rsidRPr="00B47830" w:rsidRDefault="00B47830" w:rsidP="00154B7E">
      <w:pPr>
        <w:ind w:firstLine="720"/>
        <w:rPr>
          <w:rFonts w:asciiTheme="minorBidi" w:hAnsiTheme="minorBidi"/>
        </w:rPr>
      </w:pPr>
      <w:r w:rsidRPr="00B47830">
        <w:rPr>
          <w:rFonts w:asciiTheme="minorBidi" w:hAnsiTheme="minorBidi"/>
        </w:rPr>
        <w:t>Treating students primarily as recipients of knowledge restricts their capacity to engage critically with the world around them. Freire’s critique of this model remains highly relevant, as he argues that education which limits learners to passive roles reduces their ability to question, interpret, and act (Freire, 1970). In such conditions, knowledge risks becoming detached from its practical and social purposes.</w:t>
      </w:r>
    </w:p>
    <w:p w14:paraId="3610E208" w14:textId="63B77432" w:rsidR="00B47830" w:rsidRPr="00B47830" w:rsidRDefault="00B47830" w:rsidP="00154B7E">
      <w:pPr>
        <w:ind w:firstLine="720"/>
        <w:rPr>
          <w:rFonts w:asciiTheme="minorBidi" w:hAnsiTheme="minorBidi"/>
        </w:rPr>
      </w:pPr>
      <w:r w:rsidRPr="00B47830">
        <w:rPr>
          <w:rFonts w:asciiTheme="minorBidi" w:hAnsiTheme="minorBidi"/>
        </w:rPr>
        <w:t xml:space="preserve">Reconsidering the position of the student therefore requires a shift from reception to participation. This involves creating opportunities for students to contribute to the development of ideas, to engage with real problems, and to take </w:t>
      </w:r>
      <w:r w:rsidRPr="00B47830">
        <w:rPr>
          <w:rFonts w:asciiTheme="minorBidi" w:hAnsiTheme="minorBidi"/>
        </w:rPr>
        <w:lastRenderedPageBreak/>
        <w:t>responsibility for aspects of their learning. Such participation enables students to move beyond understanding towards application.</w:t>
      </w:r>
      <w:r w:rsidR="00154B7E" w:rsidRPr="007B2227">
        <w:rPr>
          <w:rFonts w:asciiTheme="minorBidi" w:hAnsiTheme="minorBidi"/>
        </w:rPr>
        <w:t xml:space="preserve"> </w:t>
      </w:r>
      <w:r w:rsidRPr="00B47830">
        <w:rPr>
          <w:rFonts w:asciiTheme="minorBidi" w:hAnsiTheme="minorBidi"/>
        </w:rPr>
        <w:t>By expanding the role of the student, education can better support the development of individuals who are not only informed but capable of acting within complex and changing environments.</w:t>
      </w:r>
    </w:p>
    <w:p w14:paraId="7C53934D" w14:textId="77777777" w:rsidR="0037075D" w:rsidRPr="007B2227" w:rsidRDefault="0037075D" w:rsidP="0037075D">
      <w:pPr>
        <w:rPr>
          <w:rFonts w:asciiTheme="minorBidi" w:hAnsiTheme="minorBidi"/>
        </w:rPr>
      </w:pPr>
    </w:p>
    <w:p w14:paraId="2D46D886" w14:textId="77777777" w:rsidR="0037075D" w:rsidRPr="00547EC8" w:rsidRDefault="0037075D" w:rsidP="0037075D">
      <w:pPr>
        <w:rPr>
          <w:rFonts w:asciiTheme="minorBidi" w:hAnsiTheme="minorBidi"/>
        </w:rPr>
      </w:pPr>
    </w:p>
    <w:p w14:paraId="2E91B914" w14:textId="77777777" w:rsidR="007E072C" w:rsidRDefault="007E072C" w:rsidP="0037075D">
      <w:pPr>
        <w:rPr>
          <w:rFonts w:asciiTheme="minorBidi" w:hAnsiTheme="minorBidi"/>
          <w:b/>
          <w:bCs/>
          <w:sz w:val="40"/>
          <w:szCs w:val="40"/>
        </w:rPr>
      </w:pPr>
    </w:p>
    <w:p w14:paraId="11ED67B8" w14:textId="04759996"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2.2 Learning Through Engagement</w:t>
      </w:r>
    </w:p>
    <w:p w14:paraId="0F5A1FF8" w14:textId="0C91647E" w:rsidR="00B47830" w:rsidRPr="00B47830" w:rsidRDefault="00B47830" w:rsidP="00154B7E">
      <w:pPr>
        <w:ind w:firstLine="720"/>
        <w:rPr>
          <w:rFonts w:asciiTheme="minorBidi" w:hAnsiTheme="minorBidi"/>
        </w:rPr>
      </w:pPr>
      <w:r w:rsidRPr="00B47830">
        <w:rPr>
          <w:rFonts w:asciiTheme="minorBidi" w:hAnsiTheme="minorBidi"/>
        </w:rPr>
        <w:t>Learning becomes meaningful when it extends beyond the passive reception of information and develops through active involvement in inquiry and practice. When students are given the opportunity to engage with real or simulated problems, knowledge is no longer treated as something to be retained in isolation, but as something to be explored, applied, and tested within specific contexts.</w:t>
      </w:r>
      <w:r w:rsidR="00154B7E" w:rsidRPr="007B2227">
        <w:rPr>
          <w:rFonts w:asciiTheme="minorBidi" w:hAnsiTheme="minorBidi"/>
        </w:rPr>
        <w:t xml:space="preserve"> </w:t>
      </w:r>
      <w:r w:rsidRPr="00B47830">
        <w:rPr>
          <w:rFonts w:asciiTheme="minorBidi" w:hAnsiTheme="minorBidi"/>
        </w:rPr>
        <w:t>Engagement in this sense does not require the abandonment of academic structure. Rather, it involves designing learning environments in which students can investigate questions, work through uncertainty, and reflect on outcomes. By participating in such processes, students develop a clearer understanding of how concepts operate beyond theoretical explanation. This form of learning encourages independent thinking and supports the development of judgement, particularly in situations where clear answers are not immediately available.</w:t>
      </w:r>
    </w:p>
    <w:p w14:paraId="194EE2C0" w14:textId="76920EF4" w:rsidR="00B47830" w:rsidRPr="00B47830" w:rsidRDefault="00B47830" w:rsidP="00154B7E">
      <w:pPr>
        <w:ind w:firstLine="720"/>
        <w:rPr>
          <w:rFonts w:asciiTheme="minorBidi" w:hAnsiTheme="minorBidi"/>
        </w:rPr>
      </w:pPr>
      <w:r w:rsidRPr="00B47830">
        <w:rPr>
          <w:rFonts w:asciiTheme="minorBidi" w:hAnsiTheme="minorBidi"/>
        </w:rPr>
        <w:t>In contexts characterised by rapid change, the importance of engagement becomes more pronounced. Static instruction alone cannot prepare students for conditions that evolve continuously. Instead, they must be equipped to interpret situations, adapt their responses, and learn through experience.</w:t>
      </w:r>
      <w:r w:rsidR="00154B7E" w:rsidRPr="007B2227">
        <w:rPr>
          <w:rFonts w:asciiTheme="minorBidi" w:hAnsiTheme="minorBidi"/>
        </w:rPr>
        <w:t xml:space="preserve"> </w:t>
      </w:r>
      <w:r w:rsidRPr="00B47830">
        <w:rPr>
          <w:rFonts w:asciiTheme="minorBidi" w:hAnsiTheme="minorBidi"/>
        </w:rPr>
        <w:t xml:space="preserve">By incorporating engagement into education, the relationship between knowledge and use is strengthened. Students not only build </w:t>
      </w:r>
      <w:r w:rsidRPr="007B2227">
        <w:rPr>
          <w:rFonts w:asciiTheme="minorBidi" w:hAnsiTheme="minorBidi"/>
        </w:rPr>
        <w:t>understanding but</w:t>
      </w:r>
      <w:r w:rsidRPr="00B47830">
        <w:rPr>
          <w:rFonts w:asciiTheme="minorBidi" w:hAnsiTheme="minorBidi"/>
        </w:rPr>
        <w:t xml:space="preserve"> also acquire the capacity to employ that understanding in ways that are relevant, responsive, and grounded in practice.</w:t>
      </w:r>
    </w:p>
    <w:p w14:paraId="28EEA2A5" w14:textId="77777777" w:rsidR="00B47830" w:rsidRPr="007B2227" w:rsidRDefault="00B47830" w:rsidP="0037075D">
      <w:pPr>
        <w:rPr>
          <w:rFonts w:asciiTheme="minorBidi" w:hAnsiTheme="minorBidi"/>
        </w:rPr>
      </w:pPr>
    </w:p>
    <w:p w14:paraId="184C2772" w14:textId="40E84011"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2.3 Capability and Opportunity</w:t>
      </w:r>
    </w:p>
    <w:p w14:paraId="4CDFA07F" w14:textId="77B02AD9" w:rsidR="002D507C" w:rsidRPr="002D507C" w:rsidRDefault="002D507C" w:rsidP="00154B7E">
      <w:pPr>
        <w:ind w:firstLine="720"/>
        <w:rPr>
          <w:rFonts w:asciiTheme="minorBidi" w:hAnsiTheme="minorBidi"/>
        </w:rPr>
      </w:pPr>
      <w:r w:rsidRPr="002D507C">
        <w:rPr>
          <w:rFonts w:asciiTheme="minorBidi" w:hAnsiTheme="minorBidi"/>
        </w:rPr>
        <w:t xml:space="preserve">The relationship between knowledge and action can be further understood through the concept of capability. Capability refers not simply to what individuals know, but to what they are able to do with that knowledge in practice. In this sense, education should not be evaluated solely </w:t>
      </w:r>
      <w:r w:rsidRPr="007B2227">
        <w:rPr>
          <w:rFonts w:asciiTheme="minorBidi" w:hAnsiTheme="minorBidi"/>
        </w:rPr>
        <w:t>based on</w:t>
      </w:r>
      <w:r w:rsidRPr="002D507C">
        <w:rPr>
          <w:rFonts w:asciiTheme="minorBidi" w:hAnsiTheme="minorBidi"/>
        </w:rPr>
        <w:t xml:space="preserve"> information acquired, but on the extent to which it enables students to act within the conditions they encounter (Sen, 1999).</w:t>
      </w:r>
    </w:p>
    <w:p w14:paraId="0424198B" w14:textId="1AEE6319" w:rsidR="002D507C" w:rsidRPr="002D507C" w:rsidRDefault="002D507C" w:rsidP="00154B7E">
      <w:pPr>
        <w:ind w:firstLine="720"/>
        <w:rPr>
          <w:rFonts w:asciiTheme="minorBidi" w:hAnsiTheme="minorBidi"/>
        </w:rPr>
      </w:pPr>
      <w:r w:rsidRPr="002D507C">
        <w:rPr>
          <w:rFonts w:asciiTheme="minorBidi" w:hAnsiTheme="minorBidi"/>
        </w:rPr>
        <w:lastRenderedPageBreak/>
        <w:t xml:space="preserve">This perspective draws attention to the difference between potential and realisation. A student may possess </w:t>
      </w:r>
      <w:r w:rsidRPr="007B2227">
        <w:rPr>
          <w:rFonts w:asciiTheme="minorBidi" w:hAnsiTheme="minorBidi"/>
        </w:rPr>
        <w:t>understanding yet</w:t>
      </w:r>
      <w:r w:rsidRPr="002D507C">
        <w:rPr>
          <w:rFonts w:asciiTheme="minorBidi" w:hAnsiTheme="minorBidi"/>
        </w:rPr>
        <w:t xml:space="preserve"> remain unable to apply it due to limitations in opportunity, resources, or structure. The presence of knowledge alone does not guarantee meaningful engagement unless it is supported by contexts that allow it to be used.</w:t>
      </w:r>
      <w:r w:rsidR="00154B7E" w:rsidRPr="007B2227">
        <w:rPr>
          <w:rFonts w:asciiTheme="minorBidi" w:hAnsiTheme="minorBidi"/>
        </w:rPr>
        <w:t xml:space="preserve"> </w:t>
      </w:r>
      <w:r w:rsidRPr="002D507C">
        <w:rPr>
          <w:rFonts w:asciiTheme="minorBidi" w:hAnsiTheme="minorBidi"/>
        </w:rPr>
        <w:t>Opportunity therefore becomes essential. Educational environments must provide conditions in which students can test ideas, make decisions, and observe the consequences of their actions. Without such opportunities, the development of capability remains incomplete.</w:t>
      </w:r>
    </w:p>
    <w:p w14:paraId="77F48F1B" w14:textId="77777777" w:rsidR="002D507C" w:rsidRPr="002D507C" w:rsidRDefault="002D507C" w:rsidP="00154B7E">
      <w:pPr>
        <w:ind w:firstLine="720"/>
        <w:rPr>
          <w:rFonts w:asciiTheme="minorBidi" w:hAnsiTheme="minorBidi"/>
        </w:rPr>
      </w:pPr>
      <w:r w:rsidRPr="002D507C">
        <w:rPr>
          <w:rFonts w:asciiTheme="minorBidi" w:hAnsiTheme="minorBidi"/>
        </w:rPr>
        <w:t>This approach also highlights the importance of equity. If opportunities for application are unevenly distributed, then the benefits of education are similarly unequal. Creating structures that support both capability and opportunity ensures that learning extends beyond understanding, becoming a foundation for informed and effective action.</w:t>
      </w:r>
    </w:p>
    <w:p w14:paraId="2F6136FB" w14:textId="77777777" w:rsidR="002D507C" w:rsidRPr="007B2227" w:rsidRDefault="002D507C" w:rsidP="0037075D">
      <w:pPr>
        <w:rPr>
          <w:rFonts w:asciiTheme="minorBidi" w:hAnsiTheme="minorBidi"/>
        </w:rPr>
      </w:pPr>
    </w:p>
    <w:p w14:paraId="7A887254" w14:textId="77777777" w:rsidR="00154B7E" w:rsidRPr="007B2227" w:rsidRDefault="00154B7E" w:rsidP="0037075D">
      <w:pPr>
        <w:rPr>
          <w:rFonts w:asciiTheme="minorBidi" w:hAnsiTheme="minorBidi"/>
          <w:b/>
          <w:bCs/>
        </w:rPr>
      </w:pPr>
    </w:p>
    <w:p w14:paraId="3B462FBB" w14:textId="77777777" w:rsidR="00154B7E" w:rsidRPr="007B2227" w:rsidRDefault="00154B7E" w:rsidP="0037075D">
      <w:pPr>
        <w:rPr>
          <w:rFonts w:asciiTheme="minorBidi" w:hAnsiTheme="minorBidi"/>
          <w:b/>
          <w:bCs/>
        </w:rPr>
      </w:pPr>
    </w:p>
    <w:p w14:paraId="76A07F73" w14:textId="77777777" w:rsidR="00154B7E" w:rsidRPr="007B2227" w:rsidRDefault="00154B7E" w:rsidP="0037075D">
      <w:pPr>
        <w:rPr>
          <w:rFonts w:asciiTheme="minorBidi" w:hAnsiTheme="minorBidi"/>
          <w:b/>
          <w:bCs/>
        </w:rPr>
      </w:pPr>
    </w:p>
    <w:p w14:paraId="47E3D2D5" w14:textId="75F12006" w:rsidR="0037075D" w:rsidRDefault="0037075D" w:rsidP="007B2227">
      <w:pPr>
        <w:rPr>
          <w:rFonts w:asciiTheme="minorBidi" w:hAnsiTheme="minorBidi"/>
          <w:b/>
          <w:bCs/>
          <w:sz w:val="40"/>
          <w:szCs w:val="40"/>
        </w:rPr>
      </w:pPr>
      <w:r w:rsidRPr="00547EC8">
        <w:rPr>
          <w:rFonts w:asciiTheme="minorBidi" w:hAnsiTheme="minorBidi"/>
          <w:b/>
          <w:bCs/>
          <w:sz w:val="40"/>
          <w:szCs w:val="40"/>
        </w:rPr>
        <w:t>PART II: A</w:t>
      </w:r>
      <w:r w:rsidR="007B2227" w:rsidRPr="007B2227">
        <w:rPr>
          <w:rFonts w:asciiTheme="minorBidi" w:hAnsiTheme="minorBidi"/>
          <w:b/>
          <w:bCs/>
          <w:sz w:val="40"/>
          <w:szCs w:val="40"/>
        </w:rPr>
        <w:t xml:space="preserve"> Framework </w:t>
      </w:r>
      <w:r w:rsidR="007E072C" w:rsidRPr="007B2227">
        <w:rPr>
          <w:rFonts w:asciiTheme="minorBidi" w:hAnsiTheme="minorBidi"/>
          <w:b/>
          <w:bCs/>
          <w:sz w:val="40"/>
          <w:szCs w:val="40"/>
        </w:rPr>
        <w:t>for</w:t>
      </w:r>
      <w:r w:rsidR="007B2227" w:rsidRPr="007B2227">
        <w:rPr>
          <w:rFonts w:asciiTheme="minorBidi" w:hAnsiTheme="minorBidi"/>
          <w:b/>
          <w:bCs/>
          <w:sz w:val="40"/>
          <w:szCs w:val="40"/>
        </w:rPr>
        <w:t xml:space="preserve"> Action</w:t>
      </w:r>
    </w:p>
    <w:p w14:paraId="7AD73675" w14:textId="77777777" w:rsidR="007E072C" w:rsidRPr="00547EC8" w:rsidRDefault="007E072C" w:rsidP="007B2227">
      <w:pPr>
        <w:rPr>
          <w:rFonts w:asciiTheme="minorBidi" w:hAnsiTheme="minorBidi"/>
          <w:b/>
          <w:bCs/>
          <w:sz w:val="40"/>
          <w:szCs w:val="40"/>
        </w:rPr>
      </w:pPr>
    </w:p>
    <w:p w14:paraId="3B677C29" w14:textId="06F2788E" w:rsidR="002D507C" w:rsidRPr="002D507C" w:rsidRDefault="0037075D" w:rsidP="00154B7E">
      <w:pPr>
        <w:rPr>
          <w:rFonts w:asciiTheme="minorBidi" w:hAnsiTheme="minorBidi"/>
          <w:b/>
          <w:bCs/>
          <w:sz w:val="40"/>
          <w:szCs w:val="40"/>
        </w:rPr>
      </w:pPr>
      <w:r w:rsidRPr="00547EC8">
        <w:rPr>
          <w:rFonts w:asciiTheme="minorBidi" w:hAnsiTheme="minorBidi"/>
          <w:b/>
          <w:bCs/>
          <w:sz w:val="40"/>
          <w:szCs w:val="40"/>
        </w:rPr>
        <w:t>Chapter 3: Organising Student Engagement</w:t>
      </w:r>
      <w:r w:rsidR="00154B7E" w:rsidRPr="007B2227">
        <w:rPr>
          <w:rFonts w:asciiTheme="minorBidi" w:hAnsiTheme="minorBidi"/>
          <w:b/>
          <w:bCs/>
          <w:sz w:val="40"/>
          <w:szCs w:val="40"/>
        </w:rPr>
        <w:t xml:space="preserve"> (SMART Framework)</w:t>
      </w:r>
    </w:p>
    <w:p w14:paraId="0C12FB9A" w14:textId="77777777" w:rsidR="002D507C" w:rsidRPr="002D507C" w:rsidRDefault="002D507C" w:rsidP="002D507C">
      <w:pPr>
        <w:ind w:firstLine="720"/>
        <w:rPr>
          <w:rFonts w:asciiTheme="minorBidi" w:hAnsiTheme="minorBidi"/>
        </w:rPr>
      </w:pPr>
      <w:r w:rsidRPr="002D507C">
        <w:rPr>
          <w:rFonts w:asciiTheme="minorBidi" w:hAnsiTheme="minorBidi"/>
        </w:rPr>
        <w:t>The transformation of education into a space that enables meaningful participation requires more than a recognition of student potential; it requires a structure through which that potential can be realised in practice. Without such structure, attempts to encourage engagement risk remaining fragmented or dependent on individual initiative rather than being embedded within educational design. The SMART framework is introduced here as a way of organising student engagement in a manner that is both systematic and adaptable. Its purpose is not to impose fixed outcomes, but to provide a coherent approach through which students can engage with complex problems in a focused and sustained way.</w:t>
      </w:r>
    </w:p>
    <w:p w14:paraId="4F4AFA18" w14:textId="31962149" w:rsidR="002D507C" w:rsidRPr="002D507C" w:rsidRDefault="002D507C" w:rsidP="00154B7E">
      <w:pPr>
        <w:ind w:firstLine="720"/>
        <w:rPr>
          <w:rFonts w:asciiTheme="minorBidi" w:hAnsiTheme="minorBidi"/>
        </w:rPr>
      </w:pPr>
      <w:r w:rsidRPr="002D507C">
        <w:rPr>
          <w:rFonts w:asciiTheme="minorBidi" w:hAnsiTheme="minorBidi"/>
        </w:rPr>
        <w:t xml:space="preserve">At the centre of this framework is the principle of specific focus. Many of the challenges faced by contemporary societies, particularly those related to sustainability, are broad in scope and difficult to translate into direct action. By narrowing attention to clearly defined areas of investigation, students </w:t>
      </w:r>
      <w:r w:rsidRPr="007B2227">
        <w:rPr>
          <w:rFonts w:asciiTheme="minorBidi" w:hAnsiTheme="minorBidi"/>
        </w:rPr>
        <w:t>can</w:t>
      </w:r>
      <w:r w:rsidRPr="002D507C">
        <w:rPr>
          <w:rFonts w:asciiTheme="minorBidi" w:hAnsiTheme="minorBidi"/>
        </w:rPr>
        <w:t xml:space="preserve"> move from general awareness towards concrete engagement. A focus on a particular system</w:t>
      </w:r>
      <w:r w:rsidRPr="007B2227">
        <w:rPr>
          <w:rFonts w:asciiTheme="minorBidi" w:hAnsiTheme="minorBidi"/>
        </w:rPr>
        <w:t xml:space="preserve"> </w:t>
      </w:r>
      <w:r w:rsidRPr="002D507C">
        <w:rPr>
          <w:rFonts w:asciiTheme="minorBidi" w:hAnsiTheme="minorBidi"/>
        </w:rPr>
        <w:t xml:space="preserve">such as energy consumption within a specific building or waste management within a </w:t>
      </w:r>
      <w:r w:rsidRPr="002D507C">
        <w:rPr>
          <w:rFonts w:asciiTheme="minorBidi" w:hAnsiTheme="minorBidi"/>
        </w:rPr>
        <w:lastRenderedPageBreak/>
        <w:t>defined community</w:t>
      </w:r>
      <w:r w:rsidRPr="007B2227">
        <w:rPr>
          <w:rFonts w:asciiTheme="minorBidi" w:hAnsiTheme="minorBidi"/>
        </w:rPr>
        <w:t xml:space="preserve"> </w:t>
      </w:r>
      <w:r w:rsidRPr="002D507C">
        <w:rPr>
          <w:rFonts w:asciiTheme="minorBidi" w:hAnsiTheme="minorBidi"/>
        </w:rPr>
        <w:t>allows for careful observation and targeted intervention. This precision enables students to clarify objectives and to understand the boundaries of their work.</w:t>
      </w:r>
    </w:p>
    <w:p w14:paraId="0A693893" w14:textId="232E85E0" w:rsidR="002D507C" w:rsidRPr="002D507C" w:rsidRDefault="002D507C" w:rsidP="00154B7E">
      <w:pPr>
        <w:ind w:firstLine="720"/>
        <w:rPr>
          <w:rFonts w:asciiTheme="minorBidi" w:hAnsiTheme="minorBidi"/>
        </w:rPr>
      </w:pPr>
      <w:r w:rsidRPr="002D507C">
        <w:rPr>
          <w:rFonts w:asciiTheme="minorBidi" w:hAnsiTheme="minorBidi"/>
        </w:rPr>
        <w:t xml:space="preserve">The requirement for measurable outcomes follows directly from this focus. Without measurement, it becomes difficult to determine whether any form of change has occurred. The use of data introduces a level of rigour into the process, encouraging students to base their conclusions on evidence rather than assumption. Through observation, analysis, and interpretation, they </w:t>
      </w:r>
      <w:r w:rsidRPr="007B2227">
        <w:rPr>
          <w:rFonts w:asciiTheme="minorBidi" w:hAnsiTheme="minorBidi"/>
        </w:rPr>
        <w:t>can</w:t>
      </w:r>
      <w:r w:rsidRPr="002D507C">
        <w:rPr>
          <w:rFonts w:asciiTheme="minorBidi" w:hAnsiTheme="minorBidi"/>
        </w:rPr>
        <w:t xml:space="preserve"> identify patterns and assess the effects of their actions. This process not only supports accountability but also contributes to the development of analytical skills that are essential in contexts where information is abundant but requires interpretation.</w:t>
      </w:r>
    </w:p>
    <w:p w14:paraId="01AC0851" w14:textId="77777777" w:rsidR="002D507C" w:rsidRPr="002D507C" w:rsidRDefault="002D507C" w:rsidP="00154B7E">
      <w:pPr>
        <w:ind w:firstLine="720"/>
        <w:rPr>
          <w:rFonts w:asciiTheme="minorBidi" w:hAnsiTheme="minorBidi"/>
        </w:rPr>
      </w:pPr>
      <w:r w:rsidRPr="002D507C">
        <w:rPr>
          <w:rFonts w:asciiTheme="minorBidi" w:hAnsiTheme="minorBidi"/>
        </w:rPr>
        <w:t>At the same time, attention must be given to achievable scope. The scale of global challenges can create a sense of distance between understanding and action. When projects are too broad, students may struggle to see how their involvement leads to meaningful outcomes. By contrast, tasks that are clearly defined and manageable allow for completion and reflection within a limited period. This does not diminish the significance of the work; rather, it ensures that engagement remains sustained and productive. The ability to complete a project and to observe its results contributes to the development of confidence and encourages continued participation.</w:t>
      </w:r>
    </w:p>
    <w:p w14:paraId="3FC7C5A5" w14:textId="77777777" w:rsidR="002D507C" w:rsidRPr="002D507C" w:rsidRDefault="002D507C" w:rsidP="00154B7E">
      <w:pPr>
        <w:ind w:firstLine="720"/>
        <w:rPr>
          <w:rFonts w:asciiTheme="minorBidi" w:hAnsiTheme="minorBidi"/>
        </w:rPr>
      </w:pPr>
      <w:r w:rsidRPr="002D507C">
        <w:rPr>
          <w:rFonts w:asciiTheme="minorBidi" w:hAnsiTheme="minorBidi"/>
        </w:rPr>
        <w:t>The inclusion of relevance to context further strengthens this structure. All forms of intervention take place within specific social, cultural, and environmental conditions. Solutions that are effective in one location may not be appropriate in another. This is particularly evident in international learning environments, where students bring with them diverse experiences and perspectives. The presence of international students is not simply a matter of representation; it is a source of insight that enables more nuanced understanding of global challenges. When students from different contexts engage together, they contribute knowledge grounded in lived experience, allowing solutions to be examined from multiple perspectives. This collective engagement strengthens the quality of outcomes by ensuring that they are not based on a single, generalised model but are informed by a diversity of conditions (DEN, 2026).</w:t>
      </w:r>
    </w:p>
    <w:p w14:paraId="6DF629F3" w14:textId="77777777" w:rsidR="002D507C" w:rsidRPr="002D507C" w:rsidRDefault="002D507C" w:rsidP="00154B7E">
      <w:pPr>
        <w:ind w:firstLine="720"/>
        <w:rPr>
          <w:rFonts w:asciiTheme="minorBidi" w:hAnsiTheme="minorBidi"/>
        </w:rPr>
      </w:pPr>
      <w:r w:rsidRPr="002D507C">
        <w:rPr>
          <w:rFonts w:asciiTheme="minorBidi" w:hAnsiTheme="minorBidi"/>
        </w:rPr>
        <w:t>Finally, the framework is shaped by a time-bound structure. Work that is organised within defined periods allows students to plan, act, and reflect in a coherent sequence. Short cycles create opportunities for evaluation and adjustment, enabling students to refine their approaches as they progress. This iterative process reflects the realities of a changing world, where solutions are rarely final and must be continuously adapted.</w:t>
      </w:r>
    </w:p>
    <w:p w14:paraId="17B44C69" w14:textId="4A684634" w:rsidR="002D507C" w:rsidRPr="002D507C" w:rsidRDefault="002D507C" w:rsidP="002D507C">
      <w:pPr>
        <w:rPr>
          <w:rFonts w:asciiTheme="minorBidi" w:hAnsiTheme="minorBidi"/>
        </w:rPr>
      </w:pPr>
      <w:r w:rsidRPr="002D507C">
        <w:rPr>
          <w:rFonts w:asciiTheme="minorBidi" w:hAnsiTheme="minorBidi"/>
        </w:rPr>
        <w:t xml:space="preserve">What emerges from this framework is not only a method of organising work, but a way of understanding the role of students within education. Through structured engagement, students </w:t>
      </w:r>
      <w:r w:rsidRPr="007B2227">
        <w:rPr>
          <w:rFonts w:asciiTheme="minorBidi" w:hAnsiTheme="minorBidi"/>
        </w:rPr>
        <w:t>can</w:t>
      </w:r>
      <w:r w:rsidRPr="002D507C">
        <w:rPr>
          <w:rFonts w:asciiTheme="minorBidi" w:hAnsiTheme="minorBidi"/>
        </w:rPr>
        <w:t xml:space="preserve"> move beyond the position of observers to become </w:t>
      </w:r>
      <w:r w:rsidRPr="002D507C">
        <w:rPr>
          <w:rFonts w:asciiTheme="minorBidi" w:hAnsiTheme="minorBidi"/>
        </w:rPr>
        <w:lastRenderedPageBreak/>
        <w:t>participants in addressing real-world challenges. This is particularly significant in international contexts, where the coming together of diverse perspectives allows for the development of solutions that are both locally grounded and globally informed. In this sense, the power of student engagement lies not only in individual contribution, but in collective understanding.</w:t>
      </w:r>
    </w:p>
    <w:p w14:paraId="458528EF" w14:textId="77777777" w:rsidR="002D507C" w:rsidRPr="007B2227" w:rsidRDefault="002D507C" w:rsidP="0037075D">
      <w:pPr>
        <w:rPr>
          <w:rFonts w:asciiTheme="minorBidi" w:hAnsiTheme="minorBidi"/>
        </w:rPr>
      </w:pPr>
    </w:p>
    <w:p w14:paraId="21DAB14E" w14:textId="625A11A5" w:rsidR="0037075D" w:rsidRPr="00547EC8" w:rsidRDefault="0037075D" w:rsidP="007B2227">
      <w:pPr>
        <w:rPr>
          <w:rFonts w:asciiTheme="minorBidi" w:hAnsiTheme="minorBidi"/>
          <w:b/>
          <w:bCs/>
          <w:sz w:val="40"/>
          <w:szCs w:val="40"/>
        </w:rPr>
      </w:pPr>
      <w:r w:rsidRPr="00547EC8">
        <w:rPr>
          <w:rFonts w:asciiTheme="minorBidi" w:hAnsiTheme="minorBidi"/>
          <w:b/>
          <w:bCs/>
          <w:sz w:val="40"/>
          <w:szCs w:val="40"/>
        </w:rPr>
        <w:t>Chapter 4: Evidence and Application</w:t>
      </w:r>
    </w:p>
    <w:p w14:paraId="5DD0BE72"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4.1 The GOGO Project</w:t>
      </w:r>
    </w:p>
    <w:p w14:paraId="7EA2AC5A" w14:textId="708AAC43" w:rsidR="002B67F3" w:rsidRPr="007B2227" w:rsidRDefault="002B67F3" w:rsidP="002B67F3">
      <w:pPr>
        <w:ind w:firstLine="720"/>
        <w:rPr>
          <w:rFonts w:asciiTheme="minorBidi" w:hAnsiTheme="minorBidi"/>
        </w:rPr>
      </w:pPr>
      <w:r w:rsidRPr="002B67F3">
        <w:rPr>
          <w:rFonts w:asciiTheme="minorBidi" w:hAnsiTheme="minorBidi"/>
        </w:rPr>
        <w:t xml:space="preserve">The GOGO Teachers’ Association project provides a clear illustration of how structured student engagement can translate knowledge into measurable action. Recognised by UNESCO for its contribution to innovation in education, the initiative centres on the use of digital tools to monitor and analyse energy consumption within homes and schools. </w:t>
      </w:r>
      <w:r w:rsidRPr="007B2227">
        <w:rPr>
          <w:rFonts w:asciiTheme="minorBidi" w:hAnsiTheme="minorBidi"/>
        </w:rPr>
        <w:t xml:space="preserve"> </w:t>
      </w:r>
      <w:r w:rsidR="00272477" w:rsidRPr="007B2227">
        <w:rPr>
          <w:rFonts w:asciiTheme="minorBidi" w:hAnsiTheme="minorBidi"/>
        </w:rPr>
        <w:t>(</w:t>
      </w:r>
      <w:r w:rsidR="00272477" w:rsidRPr="007B2227">
        <w:rPr>
          <w:rFonts w:asciiTheme="minorBidi" w:hAnsiTheme="minorBidi"/>
          <w:i/>
          <w:iCs/>
        </w:rPr>
        <w:t xml:space="preserve">GOGO, </w:t>
      </w:r>
      <w:r w:rsidR="00272477" w:rsidRPr="007B2227">
        <w:rPr>
          <w:rFonts w:asciiTheme="minorBidi" w:hAnsiTheme="minorBidi"/>
        </w:rPr>
        <w:t>2019)</w:t>
      </w:r>
    </w:p>
    <w:p w14:paraId="5B0F165F" w14:textId="7D1C0FAC" w:rsidR="002B67F3" w:rsidRPr="002B67F3" w:rsidRDefault="002B67F3" w:rsidP="002B67F3">
      <w:pPr>
        <w:ind w:firstLine="720"/>
        <w:rPr>
          <w:rFonts w:asciiTheme="minorBidi" w:hAnsiTheme="minorBidi"/>
        </w:rPr>
      </w:pPr>
      <w:r w:rsidRPr="002B67F3">
        <w:rPr>
          <w:rFonts w:asciiTheme="minorBidi" w:hAnsiTheme="minorBidi"/>
        </w:rPr>
        <w:t>At its core, the project addresses a recurring limitation in sustainability education: the distance between awareness and practice. Environmental concerns are often taught in conceptual terms, leaving students with an understanding of the issue but limited capacity to influence it. The GOGO project responds to this gap by making energy use visible. Students collect real-time data, observe patterns of consumption, and identify areas where inefficiencies occur. Through this process, energy is no longer an abstract concept, but a measurable aspect of daily life.</w:t>
      </w:r>
      <w:r w:rsidRPr="007B2227">
        <w:rPr>
          <w:rFonts w:asciiTheme="minorBidi" w:hAnsiTheme="minorBidi"/>
        </w:rPr>
        <w:t xml:space="preserve"> </w:t>
      </w:r>
      <w:r w:rsidRPr="002B67F3">
        <w:rPr>
          <w:rFonts w:asciiTheme="minorBidi" w:hAnsiTheme="minorBidi"/>
        </w:rPr>
        <w:t>The significance of this approach lies in the shift it creates in the role of the student. Rather than engaging with sustainability as an external topic, students become active participants in addressing it. They do not simply learn about environmental challenges; they work within them. Data becomes a tool for inquiry, enabling students to move from assumption to evidence and from observation to intervention.</w:t>
      </w:r>
      <w:r w:rsidR="00272477" w:rsidRPr="007B2227">
        <w:rPr>
          <w:rFonts w:asciiTheme="minorBidi" w:hAnsiTheme="minorBidi"/>
        </w:rPr>
        <w:t xml:space="preserve"> (</w:t>
      </w:r>
      <w:r w:rsidR="00272477" w:rsidRPr="007B2227">
        <w:rPr>
          <w:rFonts w:asciiTheme="minorBidi" w:hAnsiTheme="minorBidi"/>
          <w:i/>
          <w:iCs/>
        </w:rPr>
        <w:t xml:space="preserve">GOGO, </w:t>
      </w:r>
      <w:r w:rsidR="00272477" w:rsidRPr="007B2227">
        <w:rPr>
          <w:rFonts w:asciiTheme="minorBidi" w:hAnsiTheme="minorBidi"/>
        </w:rPr>
        <w:t>2019)</w:t>
      </w:r>
    </w:p>
    <w:p w14:paraId="6CDA25E2" w14:textId="4697BB52" w:rsidR="002B67F3" w:rsidRPr="002B67F3" w:rsidRDefault="002B67F3" w:rsidP="002B67F3">
      <w:pPr>
        <w:ind w:firstLine="720"/>
        <w:rPr>
          <w:rFonts w:asciiTheme="minorBidi" w:hAnsiTheme="minorBidi"/>
        </w:rPr>
      </w:pPr>
      <w:r w:rsidRPr="002B67F3">
        <w:rPr>
          <w:rFonts w:asciiTheme="minorBidi" w:hAnsiTheme="minorBidi"/>
        </w:rPr>
        <w:t xml:space="preserve">The project also demonstrates the practical value of structured frameworks such as the SMART model. The focus on a specific </w:t>
      </w:r>
      <w:r w:rsidRPr="007B2227">
        <w:rPr>
          <w:rFonts w:asciiTheme="minorBidi" w:hAnsiTheme="minorBidi"/>
        </w:rPr>
        <w:t>system (energy</w:t>
      </w:r>
      <w:r w:rsidRPr="002B67F3">
        <w:rPr>
          <w:rFonts w:asciiTheme="minorBidi" w:hAnsiTheme="minorBidi"/>
        </w:rPr>
        <w:t xml:space="preserve"> </w:t>
      </w:r>
      <w:r w:rsidRPr="007B2227">
        <w:rPr>
          <w:rFonts w:asciiTheme="minorBidi" w:hAnsiTheme="minorBidi"/>
        </w:rPr>
        <w:t>use) provides</w:t>
      </w:r>
      <w:r w:rsidRPr="002B67F3">
        <w:rPr>
          <w:rFonts w:asciiTheme="minorBidi" w:hAnsiTheme="minorBidi"/>
        </w:rPr>
        <w:t xml:space="preserve"> clarity. Measurement through digital tools ensures accountability. The scope remains achievable, allowing students to complete their work and reflect on outcomes. At the same time, the project is highly relevant, as it operates within the immediate environments of students’ lives.</w:t>
      </w:r>
    </w:p>
    <w:p w14:paraId="07EC341C" w14:textId="77777777" w:rsidR="002B67F3" w:rsidRPr="002B67F3" w:rsidRDefault="002B67F3" w:rsidP="002B67F3">
      <w:pPr>
        <w:ind w:firstLine="720"/>
        <w:rPr>
          <w:rFonts w:asciiTheme="minorBidi" w:hAnsiTheme="minorBidi"/>
        </w:rPr>
      </w:pPr>
      <w:r w:rsidRPr="002B67F3">
        <w:rPr>
          <w:rFonts w:asciiTheme="minorBidi" w:hAnsiTheme="minorBidi"/>
        </w:rPr>
        <w:t>In this way, the GOGO initiative shows how education can support the development of both understanding and capability. It highlights that when students are given the tools to observe, measure, and act, learning becomes directly connected to meaningful change.</w:t>
      </w:r>
    </w:p>
    <w:p w14:paraId="18FC7301" w14:textId="77777777" w:rsidR="002B67F3" w:rsidRPr="007B2227" w:rsidRDefault="002B67F3" w:rsidP="0037075D">
      <w:pPr>
        <w:rPr>
          <w:rFonts w:asciiTheme="minorBidi" w:hAnsiTheme="minorBidi"/>
          <w:sz w:val="40"/>
          <w:szCs w:val="40"/>
        </w:rPr>
      </w:pPr>
    </w:p>
    <w:p w14:paraId="673175D1" w14:textId="5095AC36"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lastRenderedPageBreak/>
        <w:t>4.2 The Future17 Programme</w:t>
      </w:r>
    </w:p>
    <w:p w14:paraId="1064B846" w14:textId="77777777" w:rsidR="00272477" w:rsidRPr="007B2227" w:rsidRDefault="002B67F3" w:rsidP="005C7161">
      <w:pPr>
        <w:ind w:firstLine="720"/>
        <w:rPr>
          <w:rFonts w:asciiTheme="minorBidi" w:hAnsiTheme="minorBidi"/>
        </w:rPr>
      </w:pPr>
      <w:r w:rsidRPr="002B67F3">
        <w:rPr>
          <w:rFonts w:asciiTheme="minorBidi" w:hAnsiTheme="minorBidi"/>
        </w:rPr>
        <w:t xml:space="preserve">The Future17 programme offers a further example of how student engagement, when structured and collaborative, can generate outcomes that extend beyond the classroom. Developed through an international partnership, the initiative brings together students from different regions to work on practical challenges aligned with the United Nations Sustainable Development Goals. </w:t>
      </w:r>
      <w:r w:rsidR="00272477" w:rsidRPr="007B2227">
        <w:rPr>
          <w:rFonts w:asciiTheme="minorBidi" w:hAnsiTheme="minorBidi"/>
        </w:rPr>
        <w:t> (</w:t>
      </w:r>
      <w:proofErr w:type="spellStart"/>
      <w:r w:rsidR="00272477" w:rsidRPr="007B2227">
        <w:rPr>
          <w:rFonts w:asciiTheme="minorBidi" w:hAnsiTheme="minorBidi"/>
        </w:rPr>
        <w:t>Merrington</w:t>
      </w:r>
      <w:proofErr w:type="spellEnd"/>
      <w:r w:rsidR="00272477" w:rsidRPr="007B2227">
        <w:rPr>
          <w:rFonts w:asciiTheme="minorBidi" w:hAnsiTheme="minorBidi"/>
        </w:rPr>
        <w:t>, 2024)</w:t>
      </w:r>
    </w:p>
    <w:p w14:paraId="47C9216D" w14:textId="02FE0038" w:rsidR="002B67F3" w:rsidRPr="002B67F3" w:rsidRDefault="002B67F3" w:rsidP="002B67F3">
      <w:pPr>
        <w:ind w:firstLine="720"/>
        <w:rPr>
          <w:rFonts w:asciiTheme="minorBidi" w:hAnsiTheme="minorBidi"/>
        </w:rPr>
      </w:pPr>
    </w:p>
    <w:p w14:paraId="0F396507" w14:textId="77777777" w:rsidR="005C7161" w:rsidRDefault="002B67F3" w:rsidP="002B67F3">
      <w:pPr>
        <w:ind w:firstLine="720"/>
        <w:rPr>
          <w:rFonts w:asciiTheme="minorBidi" w:hAnsiTheme="minorBidi"/>
        </w:rPr>
      </w:pPr>
      <w:r w:rsidRPr="002B67F3">
        <w:rPr>
          <w:rFonts w:asciiTheme="minorBidi" w:hAnsiTheme="minorBidi"/>
        </w:rPr>
        <w:t>A distinctive feature of the programme is its emphasis on cross-border collaboration. Students do not work in isolation, but in diverse teams that bring together different disciplinary backgrounds and lived experiences. This creates a space in which problems are approached from multiple perspectives, allowing for a more comprehensive understanding of the conditions under which they arise. For instance, projects addressing waste management or resource use benefit from both technical knowledge and local insight, ensuring that proposed solutions remain grounded in practical realities.</w:t>
      </w:r>
      <w:r w:rsidRPr="007B2227">
        <w:rPr>
          <w:rFonts w:asciiTheme="minorBidi" w:hAnsiTheme="minorBidi"/>
        </w:rPr>
        <w:t xml:space="preserve"> </w:t>
      </w:r>
    </w:p>
    <w:p w14:paraId="4419096D" w14:textId="68408BA0" w:rsidR="002B67F3" w:rsidRPr="002B67F3" w:rsidRDefault="002B67F3" w:rsidP="002B67F3">
      <w:pPr>
        <w:ind w:firstLine="720"/>
        <w:rPr>
          <w:rFonts w:asciiTheme="minorBidi" w:hAnsiTheme="minorBidi"/>
        </w:rPr>
      </w:pPr>
      <w:r w:rsidRPr="002B67F3">
        <w:rPr>
          <w:rFonts w:asciiTheme="minorBidi" w:hAnsiTheme="minorBidi"/>
        </w:rPr>
        <w:t>The case of recycling initiatives in Cameroon and food waste solutions developed in Singapore illustrates how this approach operates in practice. Students combine analytical tools with context-specific knowledge to design interventions that respond to local needs while remaining informed by global frameworks. In doing so, they move beyond theoretical discussion and contribute to the development of workable strategies.</w:t>
      </w:r>
    </w:p>
    <w:p w14:paraId="7568EE10" w14:textId="27E5773D" w:rsidR="002B67F3" w:rsidRPr="002B67F3" w:rsidRDefault="002B67F3" w:rsidP="005C7161">
      <w:pPr>
        <w:ind w:firstLine="720"/>
        <w:rPr>
          <w:rFonts w:asciiTheme="minorBidi" w:hAnsiTheme="minorBidi"/>
        </w:rPr>
      </w:pPr>
      <w:r w:rsidRPr="002B67F3">
        <w:rPr>
          <w:rFonts w:asciiTheme="minorBidi" w:hAnsiTheme="minorBidi"/>
        </w:rPr>
        <w:t xml:space="preserve">The significance of the Future17 </w:t>
      </w:r>
      <w:r w:rsidR="00272477" w:rsidRPr="007B2227">
        <w:rPr>
          <w:rFonts w:asciiTheme="minorBidi" w:hAnsiTheme="minorBidi"/>
        </w:rPr>
        <w:t>programme (</w:t>
      </w:r>
      <w:proofErr w:type="spellStart"/>
      <w:r w:rsidR="00272477" w:rsidRPr="007B2227">
        <w:rPr>
          <w:rFonts w:asciiTheme="minorBidi" w:hAnsiTheme="minorBidi"/>
        </w:rPr>
        <w:t>Merrington</w:t>
      </w:r>
      <w:proofErr w:type="spellEnd"/>
      <w:r w:rsidR="00272477" w:rsidRPr="007B2227">
        <w:rPr>
          <w:rFonts w:asciiTheme="minorBidi" w:hAnsiTheme="minorBidi"/>
        </w:rPr>
        <w:t>, 2024)</w:t>
      </w:r>
      <w:r w:rsidR="005C7161">
        <w:rPr>
          <w:rFonts w:asciiTheme="minorBidi" w:hAnsiTheme="minorBidi"/>
        </w:rPr>
        <w:t xml:space="preserve"> </w:t>
      </w:r>
      <w:r w:rsidRPr="002B67F3">
        <w:rPr>
          <w:rFonts w:asciiTheme="minorBidi" w:hAnsiTheme="minorBidi"/>
        </w:rPr>
        <w:t>lies not only in the outputs it produces, but in the process it supports. Students learn to navigate complexity, to communicate across cultural boundaries, and to integrate different forms of knowledge. This form of engagement reinforces the idea that meaningful solutions to global challenges require collaboration rather than isolated effort.</w:t>
      </w:r>
      <w:r w:rsidRPr="007B2227">
        <w:rPr>
          <w:rFonts w:asciiTheme="minorBidi" w:hAnsiTheme="minorBidi"/>
        </w:rPr>
        <w:t xml:space="preserve"> </w:t>
      </w:r>
      <w:r w:rsidRPr="002B67F3">
        <w:rPr>
          <w:rFonts w:asciiTheme="minorBidi" w:hAnsiTheme="minorBidi"/>
        </w:rPr>
        <w:t>In this way, the programme demonstrates the collective power of international student engagement, showing that when diverse perspectives are brought together within a structured framework, learning becomes both participatory and impactful.</w:t>
      </w:r>
    </w:p>
    <w:p w14:paraId="0E5C6EF5" w14:textId="77777777" w:rsidR="0037075D" w:rsidRPr="007B2227" w:rsidRDefault="0037075D" w:rsidP="0037075D">
      <w:pPr>
        <w:rPr>
          <w:rFonts w:asciiTheme="minorBidi" w:hAnsiTheme="minorBidi"/>
        </w:rPr>
      </w:pPr>
    </w:p>
    <w:p w14:paraId="0B19650E" w14:textId="77777777" w:rsidR="0037075D" w:rsidRPr="00547EC8" w:rsidRDefault="0037075D" w:rsidP="0037075D">
      <w:pPr>
        <w:rPr>
          <w:rFonts w:asciiTheme="minorBidi" w:hAnsiTheme="minorBidi"/>
          <w:sz w:val="40"/>
          <w:szCs w:val="40"/>
        </w:rPr>
      </w:pPr>
    </w:p>
    <w:p w14:paraId="728857C7" w14:textId="0E0015C8" w:rsidR="0037075D" w:rsidRDefault="0037075D" w:rsidP="007B2227">
      <w:pPr>
        <w:rPr>
          <w:rFonts w:asciiTheme="minorBidi" w:hAnsiTheme="minorBidi"/>
          <w:b/>
          <w:bCs/>
          <w:sz w:val="40"/>
          <w:szCs w:val="40"/>
        </w:rPr>
      </w:pPr>
      <w:r w:rsidRPr="00547EC8">
        <w:rPr>
          <w:rFonts w:asciiTheme="minorBidi" w:hAnsiTheme="minorBidi"/>
          <w:b/>
          <w:bCs/>
          <w:sz w:val="40"/>
          <w:szCs w:val="40"/>
        </w:rPr>
        <w:t>PART III:</w:t>
      </w:r>
      <w:r w:rsidR="007B2227" w:rsidRPr="007B2227">
        <w:rPr>
          <w:rFonts w:asciiTheme="minorBidi" w:hAnsiTheme="minorBidi"/>
          <w:b/>
          <w:bCs/>
          <w:sz w:val="40"/>
          <w:szCs w:val="40"/>
        </w:rPr>
        <w:t xml:space="preserve"> Implications and Future Directions</w:t>
      </w:r>
      <w:r w:rsidRPr="00547EC8">
        <w:rPr>
          <w:rFonts w:asciiTheme="minorBidi" w:hAnsiTheme="minorBidi"/>
          <w:b/>
          <w:bCs/>
          <w:sz w:val="40"/>
          <w:szCs w:val="40"/>
        </w:rPr>
        <w:t xml:space="preserve"> </w:t>
      </w:r>
    </w:p>
    <w:p w14:paraId="52D15987" w14:textId="77777777" w:rsidR="005C7161" w:rsidRPr="00547EC8" w:rsidRDefault="005C7161" w:rsidP="007B2227">
      <w:pPr>
        <w:rPr>
          <w:rFonts w:asciiTheme="minorBidi" w:hAnsiTheme="minorBidi"/>
          <w:b/>
          <w:bCs/>
          <w:sz w:val="40"/>
          <w:szCs w:val="40"/>
        </w:rPr>
      </w:pPr>
    </w:p>
    <w:p w14:paraId="739C525E" w14:textId="77777777"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lastRenderedPageBreak/>
        <w:t>Chapter 5: The Role of Context in a Technological World</w:t>
      </w:r>
    </w:p>
    <w:p w14:paraId="7721C1DA" w14:textId="400491B9" w:rsidR="00770979" w:rsidRPr="00770979" w:rsidRDefault="00770979" w:rsidP="00770979">
      <w:pPr>
        <w:ind w:firstLine="720"/>
        <w:rPr>
          <w:rFonts w:asciiTheme="minorBidi" w:hAnsiTheme="minorBidi"/>
        </w:rPr>
      </w:pPr>
      <w:r w:rsidRPr="00770979">
        <w:rPr>
          <w:rFonts w:asciiTheme="minorBidi" w:hAnsiTheme="minorBidi"/>
        </w:rPr>
        <w:t>The expansion of technological systems, particularly those driven by artificial intelligence, has not only transformed how knowledge is produced but also how it is applied in real-world contexts. While these systems offer unprecedented capacity for analysis, prediction, and decision-making, they operate largely on generalised data models. Such models, by their nature, prioritise patterns over specificity. As a result, they often fail to capture the particularities of lived environments</w:t>
      </w:r>
      <w:r w:rsidRPr="007B2227">
        <w:rPr>
          <w:rFonts w:asciiTheme="minorBidi" w:hAnsiTheme="minorBidi"/>
        </w:rPr>
        <w:t xml:space="preserve">; </w:t>
      </w:r>
      <w:r w:rsidRPr="00770979">
        <w:rPr>
          <w:rFonts w:asciiTheme="minorBidi" w:hAnsiTheme="minorBidi"/>
        </w:rPr>
        <w:t>those cultural, social, and economic dimensions that shape how problems are experienced and how solutions function in practice.</w:t>
      </w:r>
      <w:r w:rsidRPr="007B2227">
        <w:rPr>
          <w:rFonts w:asciiTheme="minorBidi" w:hAnsiTheme="minorBidi"/>
        </w:rPr>
        <w:t xml:space="preserve"> </w:t>
      </w:r>
      <w:r w:rsidRPr="00770979">
        <w:rPr>
          <w:rFonts w:asciiTheme="minorBidi" w:hAnsiTheme="minorBidi"/>
        </w:rPr>
        <w:t>This raises an important question for both education and society: how can increasingly globalised technological systems remain responsive to the diversity of local realities? The answer lies, in part, in recognising the value of human experience as a form of knowledge that cannot be fully replicated by automated systems. Context is not a secondary consideration; it is central to determining whether an intervention is appropriate, effective, and sustainable.</w:t>
      </w:r>
    </w:p>
    <w:p w14:paraId="35BC86AF" w14:textId="121EE476" w:rsidR="00770979" w:rsidRPr="00770979" w:rsidRDefault="00770979" w:rsidP="00770979">
      <w:pPr>
        <w:ind w:firstLine="720"/>
        <w:rPr>
          <w:rFonts w:asciiTheme="minorBidi" w:hAnsiTheme="minorBidi"/>
        </w:rPr>
      </w:pPr>
      <w:r w:rsidRPr="00770979">
        <w:rPr>
          <w:rFonts w:asciiTheme="minorBidi" w:hAnsiTheme="minorBidi"/>
        </w:rPr>
        <w:t>Within this framework, the role of students takes on renewed importance. Students exist at the intersection of knowledge systems and lived experience. They are not only recipients of formal education but also carriers of contextual understanding shaped by their backgrounds, communities, and environments. This is particularly evident in international educational settings, where students bring a wide range of perspectives into shared spaces of learning.</w:t>
      </w:r>
      <w:r w:rsidRPr="007B2227">
        <w:rPr>
          <w:rFonts w:asciiTheme="minorBidi" w:hAnsiTheme="minorBidi"/>
        </w:rPr>
        <w:t xml:space="preserve"> </w:t>
      </w:r>
      <w:r w:rsidRPr="00770979">
        <w:rPr>
          <w:rFonts w:asciiTheme="minorBidi" w:hAnsiTheme="minorBidi"/>
        </w:rPr>
        <w:t xml:space="preserve">When these perspectives are actively incorporated into processes of inquiry and problem-solving, the quality of engagement changes significantly. Challenges that might appear uniform when viewed from a </w:t>
      </w:r>
      <w:r w:rsidRPr="007B2227">
        <w:rPr>
          <w:rFonts w:asciiTheme="minorBidi" w:hAnsiTheme="minorBidi"/>
        </w:rPr>
        <w:t>distance reveal layer of complexity</w:t>
      </w:r>
      <w:r w:rsidRPr="00770979">
        <w:rPr>
          <w:rFonts w:asciiTheme="minorBidi" w:hAnsiTheme="minorBidi"/>
        </w:rPr>
        <w:t xml:space="preserve"> when examined through multiple viewpoints. A technological solution designed for one region, for instance, may require substantial adaptation in another due to differences in infrastructure, governance, or cultural practice. Through collaborative engagement, students </w:t>
      </w:r>
      <w:r w:rsidRPr="007B2227">
        <w:rPr>
          <w:rFonts w:asciiTheme="minorBidi" w:hAnsiTheme="minorBidi"/>
        </w:rPr>
        <w:t>can</w:t>
      </w:r>
      <w:r w:rsidRPr="00770979">
        <w:rPr>
          <w:rFonts w:asciiTheme="minorBidi" w:hAnsiTheme="minorBidi"/>
        </w:rPr>
        <w:t xml:space="preserve"> identify these variations and respond to them in more nuanced ways.</w:t>
      </w:r>
    </w:p>
    <w:p w14:paraId="1B95D967" w14:textId="1F49F3DB" w:rsidR="00770979" w:rsidRPr="00770979" w:rsidRDefault="00770979" w:rsidP="00770979">
      <w:pPr>
        <w:ind w:firstLine="720"/>
        <w:rPr>
          <w:rFonts w:asciiTheme="minorBidi" w:hAnsiTheme="minorBidi"/>
        </w:rPr>
      </w:pPr>
      <w:r w:rsidRPr="00770979">
        <w:rPr>
          <w:rFonts w:asciiTheme="minorBidi" w:hAnsiTheme="minorBidi"/>
        </w:rPr>
        <w:t>This collective dimension of student engagement represents a form of intellectual and practical capacity that extends beyond individual learning. International students, working together, create spaces in which knowledge is not only shared but critically examined in relation to different contexts. This interaction produces a form of understanding that is both broader and more grounded, reducing the likelihood of solutions that rely on assumptions or incomplete perspectives.</w:t>
      </w:r>
      <w:r w:rsidRPr="007B2227">
        <w:rPr>
          <w:rFonts w:asciiTheme="minorBidi" w:hAnsiTheme="minorBidi"/>
        </w:rPr>
        <w:t xml:space="preserve"> </w:t>
      </w:r>
      <w:r w:rsidRPr="00770979">
        <w:rPr>
          <w:rFonts w:asciiTheme="minorBidi" w:hAnsiTheme="minorBidi"/>
        </w:rPr>
        <w:t xml:space="preserve">At the same time, this process highlights the limits of relying solely on technological systems to address complex global challenges. Artificial intelligence can process large volumes of data, but it does not inherently interpret meaning in the same way that individuals do within lived contexts. Without input from those who understand these contexts, technological outputs risk being detached from practical realities. </w:t>
      </w:r>
      <w:r w:rsidRPr="00770979">
        <w:rPr>
          <w:rFonts w:asciiTheme="minorBidi" w:hAnsiTheme="minorBidi"/>
        </w:rPr>
        <w:lastRenderedPageBreak/>
        <w:t>The contribution of students, therefore, lies not only in developing solutions, but in ensuring that those solutions remain connected to the environments in which they are applied.</w:t>
      </w:r>
    </w:p>
    <w:p w14:paraId="5EC2071A" w14:textId="77777777" w:rsidR="00770979" w:rsidRPr="00770979" w:rsidRDefault="00770979" w:rsidP="00770979">
      <w:pPr>
        <w:ind w:firstLine="720"/>
        <w:rPr>
          <w:rFonts w:asciiTheme="minorBidi" w:hAnsiTheme="minorBidi"/>
        </w:rPr>
      </w:pPr>
      <w:r w:rsidRPr="00770979">
        <w:rPr>
          <w:rFonts w:asciiTheme="minorBidi" w:hAnsiTheme="minorBidi"/>
        </w:rPr>
        <w:t>The implications for education are significant. If students are to participate effectively in technologically mediated environments, they must be equipped not only with analytical skills but also with the ability to interpret context, engage with diversity, and adapt knowledge to specific conditions. This requires a shift in how learning is structured. Frameworks such as SMART play a role in this process by embedding attention to context within each stage of engagement, ensuring that relevance is not treated as an afterthought but as a central organising principle.</w:t>
      </w:r>
    </w:p>
    <w:p w14:paraId="4ED5387B" w14:textId="7E9410B6" w:rsidR="00770979" w:rsidRPr="00770979" w:rsidRDefault="00770979" w:rsidP="00770979">
      <w:pPr>
        <w:ind w:firstLine="720"/>
        <w:rPr>
          <w:rFonts w:asciiTheme="minorBidi" w:hAnsiTheme="minorBidi"/>
        </w:rPr>
      </w:pPr>
      <w:r w:rsidRPr="00770979">
        <w:rPr>
          <w:rFonts w:asciiTheme="minorBidi" w:hAnsiTheme="minorBidi"/>
        </w:rPr>
        <w:t>Looking forward, the integration of technological systems into society will continue to expand. However, their effectiveness will depend on their capacity to align with the realities they are intended to address. Education, in this regard, has a critical function. By supporting forms of learning that emphasise context, collaboration, and adaptability, it can prepare students not only to work with technological systems but to guide their application in meaningful ways.</w:t>
      </w:r>
      <w:r w:rsidRPr="007B2227">
        <w:rPr>
          <w:rFonts w:asciiTheme="minorBidi" w:hAnsiTheme="minorBidi"/>
        </w:rPr>
        <w:t xml:space="preserve"> </w:t>
      </w:r>
      <w:r w:rsidRPr="00770979">
        <w:rPr>
          <w:rFonts w:asciiTheme="minorBidi" w:hAnsiTheme="minorBidi"/>
        </w:rPr>
        <w:t>In this sense, the future of education is closely tied to the ability to balance global systems with local understanding. The collective engagement of students</w:t>
      </w:r>
      <w:r w:rsidRPr="007B2227">
        <w:rPr>
          <w:rFonts w:asciiTheme="minorBidi" w:hAnsiTheme="minorBidi"/>
        </w:rPr>
        <w:t xml:space="preserve"> </w:t>
      </w:r>
      <w:r w:rsidRPr="00770979">
        <w:rPr>
          <w:rFonts w:asciiTheme="minorBidi" w:hAnsiTheme="minorBidi"/>
        </w:rPr>
        <w:t>particularly within international communities</w:t>
      </w:r>
      <w:r w:rsidRPr="007B2227">
        <w:rPr>
          <w:rFonts w:asciiTheme="minorBidi" w:hAnsiTheme="minorBidi"/>
        </w:rPr>
        <w:t xml:space="preserve"> </w:t>
      </w:r>
      <w:r w:rsidRPr="00770979">
        <w:rPr>
          <w:rFonts w:asciiTheme="minorBidi" w:hAnsiTheme="minorBidi"/>
        </w:rPr>
        <w:t>provides a foundation for achieving this balance. Through their participation, knowledge becomes not only something that is produced, but something that is interpreted, adapted, and applied in ways that reflect the complexity of the world in which it operates.</w:t>
      </w:r>
    </w:p>
    <w:p w14:paraId="45D37771" w14:textId="77777777" w:rsidR="0037075D" w:rsidRPr="00547EC8" w:rsidRDefault="0037075D" w:rsidP="0037075D">
      <w:pPr>
        <w:rPr>
          <w:rFonts w:asciiTheme="minorBidi" w:hAnsiTheme="minorBidi"/>
        </w:rPr>
      </w:pPr>
    </w:p>
    <w:p w14:paraId="78B14B13" w14:textId="77777777" w:rsidR="00770979" w:rsidRPr="007B2227" w:rsidRDefault="00770979" w:rsidP="00770979">
      <w:pPr>
        <w:rPr>
          <w:rFonts w:asciiTheme="minorBidi" w:hAnsiTheme="minorBidi"/>
          <w:b/>
          <w:bCs/>
        </w:rPr>
      </w:pPr>
    </w:p>
    <w:p w14:paraId="66061C47" w14:textId="77777777" w:rsidR="00770979" w:rsidRPr="007B2227" w:rsidRDefault="00770979" w:rsidP="00770979">
      <w:pPr>
        <w:rPr>
          <w:rFonts w:asciiTheme="minorBidi" w:hAnsiTheme="minorBidi"/>
          <w:b/>
          <w:bCs/>
          <w:sz w:val="40"/>
          <w:szCs w:val="40"/>
        </w:rPr>
      </w:pPr>
    </w:p>
    <w:p w14:paraId="406CCC56" w14:textId="449A1435" w:rsidR="0037075D" w:rsidRPr="00547EC8" w:rsidRDefault="0037075D" w:rsidP="00770979">
      <w:pPr>
        <w:rPr>
          <w:rFonts w:asciiTheme="minorBidi" w:hAnsiTheme="minorBidi"/>
          <w:b/>
          <w:bCs/>
          <w:sz w:val="40"/>
          <w:szCs w:val="40"/>
        </w:rPr>
      </w:pPr>
      <w:r w:rsidRPr="00547EC8">
        <w:rPr>
          <w:rFonts w:asciiTheme="minorBidi" w:hAnsiTheme="minorBidi"/>
          <w:b/>
          <w:bCs/>
          <w:sz w:val="40"/>
          <w:szCs w:val="40"/>
        </w:rPr>
        <w:t>Chapter 6: Rethinking Educational Practice</w:t>
      </w:r>
    </w:p>
    <w:p w14:paraId="60112366" w14:textId="77777777" w:rsidR="00770979" w:rsidRPr="00770979" w:rsidRDefault="00770979" w:rsidP="00272477">
      <w:pPr>
        <w:ind w:firstLine="720"/>
        <w:rPr>
          <w:rFonts w:asciiTheme="minorBidi" w:hAnsiTheme="minorBidi"/>
        </w:rPr>
      </w:pPr>
      <w:r w:rsidRPr="00770979">
        <w:rPr>
          <w:rFonts w:asciiTheme="minorBidi" w:hAnsiTheme="minorBidi"/>
        </w:rPr>
        <w:t>The considerations developed throughout this work point towards a necessary shift in how educational practice is conceived and organised. This shift is not concerned with minor adjustment, but with a more fundamental realignment between the processes of learning and the realities within which that learning is expected to operate. As social, environmental, and technological conditions continue to evolve, education must be understood not as a stable system delivering fixed knowledge, but as a responsive structure capable of adapting to changing demands.</w:t>
      </w:r>
    </w:p>
    <w:p w14:paraId="53B06D00" w14:textId="72909D43" w:rsidR="00770979" w:rsidRPr="00770979" w:rsidRDefault="00770979" w:rsidP="00272477">
      <w:pPr>
        <w:ind w:firstLine="720"/>
        <w:rPr>
          <w:rFonts w:asciiTheme="minorBidi" w:hAnsiTheme="minorBidi"/>
        </w:rPr>
      </w:pPr>
      <w:r w:rsidRPr="00770979">
        <w:rPr>
          <w:rFonts w:asciiTheme="minorBidi" w:hAnsiTheme="minorBidi"/>
        </w:rPr>
        <w:t xml:space="preserve">A central aspect of this reconfiguration lies in the relationship between knowledge and its use. Knowledge retains its importance, yet its value cannot be separated from the context in which it is applied. Educational practice must therefore move beyond the assumption that understanding alone is sufficient. Instead, it must provide conditions in which knowledge is engaged, examined, and shaped through </w:t>
      </w:r>
      <w:r w:rsidRPr="00770979">
        <w:rPr>
          <w:rFonts w:asciiTheme="minorBidi" w:hAnsiTheme="minorBidi"/>
        </w:rPr>
        <w:lastRenderedPageBreak/>
        <w:t>its interaction with real situations. When students encounter the limits of theory in practice, they begin to recognise that understanding is not static, but something that develops through use, reflection, and revision.</w:t>
      </w:r>
      <w:r w:rsidR="00272477" w:rsidRPr="007B2227">
        <w:rPr>
          <w:rFonts w:asciiTheme="minorBidi" w:hAnsiTheme="minorBidi"/>
        </w:rPr>
        <w:t xml:space="preserve"> </w:t>
      </w:r>
      <w:r w:rsidRPr="00770979">
        <w:rPr>
          <w:rFonts w:asciiTheme="minorBidi" w:hAnsiTheme="minorBidi"/>
        </w:rPr>
        <w:t>Connected to this is the need to reorganise how learning is experienced collectively. Contemporary challenges are rarely confined to individual disciplines or singular viewpoints. They require forms of engagement in which different perspectives can be brought into relation. Educational environments must therefore support processes through which students learn to work with difference</w:t>
      </w:r>
      <w:r w:rsidR="00272477" w:rsidRPr="007B2227">
        <w:rPr>
          <w:rFonts w:asciiTheme="minorBidi" w:hAnsiTheme="minorBidi"/>
        </w:rPr>
        <w:t xml:space="preserve"> </w:t>
      </w:r>
      <w:r w:rsidRPr="00770979">
        <w:rPr>
          <w:rFonts w:asciiTheme="minorBidi" w:hAnsiTheme="minorBidi"/>
        </w:rPr>
        <w:t>across disciplines, cultures, and experiences. This does not simply broaden knowledge; it introduces a level of depth that emerges from the comparison and integration of distinct ways of understanding.</w:t>
      </w:r>
    </w:p>
    <w:p w14:paraId="3252717E" w14:textId="38736D0A" w:rsidR="00770979" w:rsidRPr="00770979" w:rsidRDefault="00770979" w:rsidP="00272477">
      <w:pPr>
        <w:ind w:firstLine="720"/>
        <w:rPr>
          <w:rFonts w:asciiTheme="minorBidi" w:hAnsiTheme="minorBidi"/>
        </w:rPr>
      </w:pPr>
      <w:r w:rsidRPr="00770979">
        <w:rPr>
          <w:rFonts w:asciiTheme="minorBidi" w:hAnsiTheme="minorBidi"/>
        </w:rPr>
        <w:t xml:space="preserve">In this context, diversity assumes a functional role rather than a symbolic one. The presence of multiple perspectives allows for more careful examination of assumptions and for the identification of limitations within </w:t>
      </w:r>
      <w:r w:rsidR="00272477" w:rsidRPr="007B2227">
        <w:rPr>
          <w:rFonts w:asciiTheme="minorBidi" w:hAnsiTheme="minorBidi"/>
        </w:rPr>
        <w:t>approaches</w:t>
      </w:r>
      <w:r w:rsidRPr="00770979">
        <w:rPr>
          <w:rFonts w:asciiTheme="minorBidi" w:hAnsiTheme="minorBidi"/>
        </w:rPr>
        <w:t>. Students learn not only to articulate their own views, but also to respond to those of others, adapting their thinking in the process. Such interaction contributes to a form of learning that is both reflective and adaptive, qualities that are essential in conditions characterised by uncertainty.</w:t>
      </w:r>
    </w:p>
    <w:p w14:paraId="57CF00A6" w14:textId="5B52F3DE" w:rsidR="00770979" w:rsidRPr="00770979" w:rsidRDefault="00770979" w:rsidP="005C7161">
      <w:pPr>
        <w:ind w:firstLine="720"/>
        <w:rPr>
          <w:rFonts w:asciiTheme="minorBidi" w:hAnsiTheme="minorBidi"/>
        </w:rPr>
      </w:pPr>
      <w:r w:rsidRPr="00770979">
        <w:rPr>
          <w:rFonts w:asciiTheme="minorBidi" w:hAnsiTheme="minorBidi"/>
        </w:rPr>
        <w:t xml:space="preserve">At the same time, engagement must be supported by forms of organisation that provide coherence. Without such structure, participation risks becoming uneven or episodic. Educational practice must therefore include processes that guide students through stages of inquiry, development, and reflection. These structures do not constrain learning; rather, they provide the continuity necessary for it to develop over time. Through organised engagement, students </w:t>
      </w:r>
      <w:r w:rsidR="00272477" w:rsidRPr="007B2227">
        <w:rPr>
          <w:rFonts w:asciiTheme="minorBidi" w:hAnsiTheme="minorBidi"/>
        </w:rPr>
        <w:t>can</w:t>
      </w:r>
      <w:r w:rsidRPr="00770979">
        <w:rPr>
          <w:rFonts w:asciiTheme="minorBidi" w:hAnsiTheme="minorBidi"/>
        </w:rPr>
        <w:t xml:space="preserve"> trace the progression of their work, to identify areas for improvement, and to understand the relationship between different elements of their learning.</w:t>
      </w:r>
      <w:r w:rsidR="005C7161">
        <w:rPr>
          <w:rFonts w:asciiTheme="minorBidi" w:hAnsiTheme="minorBidi"/>
        </w:rPr>
        <w:t xml:space="preserve"> </w:t>
      </w:r>
      <w:r w:rsidRPr="00770979">
        <w:rPr>
          <w:rFonts w:asciiTheme="minorBidi" w:hAnsiTheme="minorBidi"/>
        </w:rPr>
        <w:t>The question of access also becomes central within this reconfiguration. If opportunities for engagement are not systematically distributed, then the benefits of such approaches will remain uneven. Educational institutions must therefore consider how participation is enabled across different groups of students. This involves ensuring that the structures supporting engagement are embedded within the core of educational provision, rather than being available only to those who actively seek them out. In doing so, education moves towards a model that recognises participation as a shared condition, rather than an optional extension.</w:t>
      </w:r>
    </w:p>
    <w:p w14:paraId="58E96C95" w14:textId="5BFE6398" w:rsidR="00770979" w:rsidRPr="00770979" w:rsidRDefault="00770979" w:rsidP="00272477">
      <w:pPr>
        <w:ind w:firstLine="720"/>
        <w:rPr>
          <w:rFonts w:asciiTheme="minorBidi" w:hAnsiTheme="minorBidi"/>
        </w:rPr>
      </w:pPr>
      <w:r w:rsidRPr="00770979">
        <w:rPr>
          <w:rFonts w:asciiTheme="minorBidi" w:hAnsiTheme="minorBidi"/>
        </w:rPr>
        <w:t>Reconfiguring educational practice also requires a reconsideration of how success is understood. Achievement can no longer be defined solely through the demonstration of knowledge in controlled settings. It must also reflect the ability to apply knowledge within complex environments, to work with others, and to adapt to changing conditions. These capacities are not separate from academic learning; they represent its extension into practice.</w:t>
      </w:r>
      <w:r w:rsidR="00272477" w:rsidRPr="007B2227">
        <w:rPr>
          <w:rFonts w:asciiTheme="minorBidi" w:hAnsiTheme="minorBidi"/>
        </w:rPr>
        <w:t xml:space="preserve"> </w:t>
      </w:r>
      <w:r w:rsidRPr="00770979">
        <w:rPr>
          <w:rFonts w:asciiTheme="minorBidi" w:hAnsiTheme="minorBidi"/>
        </w:rPr>
        <w:t xml:space="preserve">Ultimately, the reconfiguration proposed here seeks to align education more closely with the conditions in which it operates. By reshaping how knowledge is engaged, shared, and applied, education can move towards a form that is both responsive and sustained. In doing so, it maintains its </w:t>
      </w:r>
      <w:r w:rsidRPr="00770979">
        <w:rPr>
          <w:rFonts w:asciiTheme="minorBidi" w:hAnsiTheme="minorBidi"/>
        </w:rPr>
        <w:lastRenderedPageBreak/>
        <w:t>intellectual foundations while extending its relevance beyond the boundaries of the classroom.</w:t>
      </w:r>
    </w:p>
    <w:p w14:paraId="750BEB79" w14:textId="77777777" w:rsidR="00770979" w:rsidRPr="007B2227" w:rsidRDefault="00770979" w:rsidP="0037075D">
      <w:pPr>
        <w:rPr>
          <w:rFonts w:asciiTheme="minorBidi" w:hAnsiTheme="minorBidi"/>
          <w:b/>
          <w:bCs/>
        </w:rPr>
      </w:pPr>
    </w:p>
    <w:p w14:paraId="28E7DF14" w14:textId="1377C6A2" w:rsidR="0037075D" w:rsidRPr="00547EC8" w:rsidRDefault="0037075D" w:rsidP="0037075D">
      <w:pPr>
        <w:rPr>
          <w:rFonts w:asciiTheme="minorBidi" w:hAnsiTheme="minorBidi"/>
          <w:b/>
          <w:bCs/>
          <w:sz w:val="40"/>
          <w:szCs w:val="40"/>
        </w:rPr>
      </w:pPr>
      <w:r w:rsidRPr="00547EC8">
        <w:rPr>
          <w:rFonts w:asciiTheme="minorBidi" w:hAnsiTheme="minorBidi"/>
          <w:b/>
          <w:bCs/>
          <w:sz w:val="40"/>
          <w:szCs w:val="40"/>
        </w:rPr>
        <w:t>Conclusion</w:t>
      </w:r>
    </w:p>
    <w:p w14:paraId="11AD0619" w14:textId="11456345" w:rsidR="00272477" w:rsidRPr="00272477" w:rsidRDefault="00272477" w:rsidP="007B2227">
      <w:pPr>
        <w:ind w:firstLine="720"/>
        <w:rPr>
          <w:rFonts w:asciiTheme="minorBidi" w:hAnsiTheme="minorBidi"/>
        </w:rPr>
      </w:pPr>
      <w:r w:rsidRPr="00272477">
        <w:rPr>
          <w:rFonts w:asciiTheme="minorBidi" w:hAnsiTheme="minorBidi"/>
        </w:rPr>
        <w:t>This work has argued that the relationship between education, technology, and society is undergoing a significant shift, one that requires more than incremental adjustment. At its core is a growing tension between systems designed for conditions of relative stability and a world that is increasingly characterised by uncertainty, acceleration, and interdependence. Within this environment, the traditional emphasis placed on the accumulation of knowledge, while still important, is no longer sufficient as the primary organising principle of higher education.</w:t>
      </w:r>
      <w:r w:rsidR="007B2227" w:rsidRPr="007B2227">
        <w:rPr>
          <w:rFonts w:asciiTheme="minorBidi" w:hAnsiTheme="minorBidi"/>
        </w:rPr>
        <w:t xml:space="preserve"> </w:t>
      </w:r>
      <w:r w:rsidRPr="00272477">
        <w:rPr>
          <w:rFonts w:asciiTheme="minorBidi" w:hAnsiTheme="minorBidi"/>
        </w:rPr>
        <w:t xml:space="preserve">A central concern has been the gap between understanding and action. Students are often equipped with theoretical </w:t>
      </w:r>
      <w:r w:rsidRPr="007B2227">
        <w:rPr>
          <w:rFonts w:asciiTheme="minorBidi" w:hAnsiTheme="minorBidi"/>
        </w:rPr>
        <w:t>knowledge yet</w:t>
      </w:r>
      <w:r w:rsidRPr="00272477">
        <w:rPr>
          <w:rFonts w:asciiTheme="minorBidi" w:hAnsiTheme="minorBidi"/>
        </w:rPr>
        <w:t xml:space="preserve"> lack structured opportunities to apply that knowledge in ways that are responsive to real-world conditions. This disconnect does not arise from a deficiency in student capability, but from the absence of frameworks that connect learning to practice. When knowledge remains abstract, its potential remains unrealised. It is only through engagement</w:t>
      </w:r>
      <w:r w:rsidR="007B2227" w:rsidRPr="007B2227">
        <w:rPr>
          <w:rFonts w:asciiTheme="minorBidi" w:hAnsiTheme="minorBidi"/>
        </w:rPr>
        <w:t xml:space="preserve"> </w:t>
      </w:r>
      <w:r w:rsidRPr="00272477">
        <w:rPr>
          <w:rFonts w:asciiTheme="minorBidi" w:hAnsiTheme="minorBidi"/>
        </w:rPr>
        <w:t>through processes of testing, interpretation, and adaptation</w:t>
      </w:r>
      <w:r w:rsidR="007B2227" w:rsidRPr="007B2227">
        <w:rPr>
          <w:rFonts w:asciiTheme="minorBidi" w:hAnsiTheme="minorBidi"/>
        </w:rPr>
        <w:t xml:space="preserve"> </w:t>
      </w:r>
      <w:r w:rsidRPr="00272477">
        <w:rPr>
          <w:rFonts w:asciiTheme="minorBidi" w:hAnsiTheme="minorBidi"/>
        </w:rPr>
        <w:t>that knowledge becomes meaningful in context.</w:t>
      </w:r>
    </w:p>
    <w:p w14:paraId="35CFAFD8" w14:textId="19D79B01" w:rsidR="00272477" w:rsidRPr="00272477" w:rsidRDefault="00272477" w:rsidP="007B2227">
      <w:pPr>
        <w:ind w:firstLine="720"/>
        <w:rPr>
          <w:rFonts w:asciiTheme="minorBidi" w:hAnsiTheme="minorBidi"/>
        </w:rPr>
      </w:pPr>
      <w:r w:rsidRPr="00272477">
        <w:rPr>
          <w:rFonts w:asciiTheme="minorBidi" w:hAnsiTheme="minorBidi"/>
        </w:rPr>
        <w:t xml:space="preserve">The introduction of the SMART framework has been presented as a practical response to this challenge. Its significance lies not in its terminology, but in the </w:t>
      </w:r>
      <w:r w:rsidR="007B2227" w:rsidRPr="007B2227">
        <w:rPr>
          <w:rFonts w:asciiTheme="minorBidi" w:hAnsiTheme="minorBidi"/>
        </w:rPr>
        <w:t>clarity,</w:t>
      </w:r>
      <w:r w:rsidRPr="00272477">
        <w:rPr>
          <w:rFonts w:asciiTheme="minorBidi" w:hAnsiTheme="minorBidi"/>
        </w:rPr>
        <w:t xml:space="preserve"> it brings to the organisation of engagement. By encouraging specificity, accountability, feasibility, contextual awareness, and temporal discipline, it provides a structure through which students can engage with complexity in a systematic and sustained manner. In doing so, it supports the development of both understanding and capability, enabling students to move from observation to participation.</w:t>
      </w:r>
    </w:p>
    <w:p w14:paraId="553091D8" w14:textId="52C43104" w:rsidR="00272477" w:rsidRPr="00272477" w:rsidRDefault="00272477" w:rsidP="007B2227">
      <w:pPr>
        <w:ind w:firstLine="720"/>
        <w:rPr>
          <w:rFonts w:asciiTheme="minorBidi" w:hAnsiTheme="minorBidi"/>
        </w:rPr>
      </w:pPr>
      <w:r w:rsidRPr="00272477">
        <w:rPr>
          <w:rFonts w:asciiTheme="minorBidi" w:hAnsiTheme="minorBidi"/>
        </w:rPr>
        <w:t xml:space="preserve">The case studies examined within this work further illustrate the value of such structured engagement. Initiatives such as the GOGO Teachers’ Association project demonstrate how access to data and clearly defined tasks can transform awareness into measurable action. Similarly, collaborative programmes such as Future17 highlight the importance of bringing together diverse perspectives to address challenges that are both global in scope and local in expression. These examples show that when students are provided with appropriate structures and opportunities, they </w:t>
      </w:r>
      <w:r w:rsidR="007B2227" w:rsidRPr="007B2227">
        <w:rPr>
          <w:rFonts w:asciiTheme="minorBidi" w:hAnsiTheme="minorBidi"/>
        </w:rPr>
        <w:t>can</w:t>
      </w:r>
      <w:r w:rsidRPr="00272477">
        <w:rPr>
          <w:rFonts w:asciiTheme="minorBidi" w:hAnsiTheme="minorBidi"/>
        </w:rPr>
        <w:t xml:space="preserve"> contribute in ways that are both practical and meaningful.</w:t>
      </w:r>
      <w:r w:rsidR="007B2227" w:rsidRPr="007B2227">
        <w:rPr>
          <w:rFonts w:asciiTheme="minorBidi" w:hAnsiTheme="minorBidi"/>
        </w:rPr>
        <w:t xml:space="preserve"> </w:t>
      </w:r>
      <w:r w:rsidRPr="00272477">
        <w:rPr>
          <w:rFonts w:asciiTheme="minorBidi" w:hAnsiTheme="minorBidi"/>
        </w:rPr>
        <w:t xml:space="preserve">A recurring theme throughout this analysis has been the importance of context. In a world increasingly shaped by technological systems, the risk of generalisation becomes more pronounced. Solutions derived from broad models may overlook the specific conditions in which they are applied. The contribution of students, particularly within international learning environments, lies in their ability to bring context into the process of problem-solving. Their experiences and perspectives enable a more </w:t>
      </w:r>
      <w:r w:rsidRPr="00272477">
        <w:rPr>
          <w:rFonts w:asciiTheme="minorBidi" w:hAnsiTheme="minorBidi"/>
        </w:rPr>
        <w:lastRenderedPageBreak/>
        <w:t>grounded understanding of challenges, ensuring that responses are not only technically viable but also socially appropriate.</w:t>
      </w:r>
    </w:p>
    <w:p w14:paraId="4357FFD5" w14:textId="77777777" w:rsidR="00272477" w:rsidRPr="00272477" w:rsidRDefault="00272477" w:rsidP="007B2227">
      <w:pPr>
        <w:ind w:firstLine="720"/>
        <w:rPr>
          <w:rFonts w:asciiTheme="minorBidi" w:hAnsiTheme="minorBidi"/>
        </w:rPr>
      </w:pPr>
      <w:r w:rsidRPr="00272477">
        <w:rPr>
          <w:rFonts w:asciiTheme="minorBidi" w:hAnsiTheme="minorBidi"/>
        </w:rPr>
        <w:t>This emphasis on context also highlights the collective dimension of student engagement. When students from different backgrounds come together, they create opportunities for learning that extend beyond individual understanding. Through collaboration, knowledge is examined from multiple perspectives, assumptions are challenged, and solutions are refined. The strength of this approach lies in its capacity to integrate differences into a shared process of inquiry, producing outcomes that are more responsive to the complexity of real-world conditions.</w:t>
      </w:r>
    </w:p>
    <w:p w14:paraId="21FE6B98" w14:textId="77777777" w:rsidR="00272477" w:rsidRPr="00272477" w:rsidRDefault="00272477" w:rsidP="00272477">
      <w:pPr>
        <w:rPr>
          <w:rFonts w:asciiTheme="minorBidi" w:hAnsiTheme="minorBidi"/>
        </w:rPr>
      </w:pPr>
      <w:r w:rsidRPr="00272477">
        <w:rPr>
          <w:rFonts w:asciiTheme="minorBidi" w:hAnsiTheme="minorBidi"/>
        </w:rPr>
        <w:t>The implications for educational practice are therefore substantial. Education must be understood not only as a system for transmitting knowledge, but as a space for developing the capacity to act. This involves rethinking how learning is structured, how participation is supported, and how success is defined. Achievement must extend beyond the demonstration of understanding to include the ability to apply, adapt, and contribute within changing environments.</w:t>
      </w:r>
    </w:p>
    <w:p w14:paraId="15AE55ED" w14:textId="527AC0F3" w:rsidR="00272477" w:rsidRPr="00272477" w:rsidRDefault="00272477" w:rsidP="007B2227">
      <w:pPr>
        <w:ind w:firstLine="720"/>
        <w:rPr>
          <w:rFonts w:asciiTheme="minorBidi" w:hAnsiTheme="minorBidi"/>
        </w:rPr>
      </w:pPr>
      <w:r w:rsidRPr="00272477">
        <w:rPr>
          <w:rFonts w:asciiTheme="minorBidi" w:hAnsiTheme="minorBidi"/>
        </w:rPr>
        <w:t>Ultimately, the argument advanced in this work returns to a single point: that the role of the student must be reconsidered. Students are not merely future participants in society; they are already situated within the systems that shape it. Providing them with the tools, structures, and opportunities to engage meaningfully is therefore not an optional enhancement, but a necessary condition for relevance.</w:t>
      </w:r>
      <w:r w:rsidR="007B2227" w:rsidRPr="007B2227">
        <w:rPr>
          <w:rFonts w:asciiTheme="minorBidi" w:hAnsiTheme="minorBidi"/>
        </w:rPr>
        <w:t xml:space="preserve"> </w:t>
      </w:r>
      <w:r w:rsidRPr="00272477">
        <w:rPr>
          <w:rFonts w:asciiTheme="minorBidi" w:hAnsiTheme="minorBidi"/>
        </w:rPr>
        <w:t>In this sense, the empowerment of the global student voice represents more than an educational reform. It reflects a broader commitment to ensuring that the processes through which knowledge is developed and applied remain connected to the realities they are intended to address. By aligning learning with action, and by recognising the importance of context and collaboration, education can begin to respond more effectively to the demands of the present, while preparing students to engage with the uncertainties of the future.</w:t>
      </w:r>
    </w:p>
    <w:p w14:paraId="0557495E" w14:textId="77777777" w:rsidR="0037075D" w:rsidRPr="00547EC8" w:rsidRDefault="0037075D" w:rsidP="0037075D">
      <w:pPr>
        <w:rPr>
          <w:rFonts w:asciiTheme="minorBidi" w:hAnsiTheme="minorBidi"/>
        </w:rPr>
      </w:pPr>
    </w:p>
    <w:p w14:paraId="00A641F7" w14:textId="77777777" w:rsidR="0037075D" w:rsidRPr="007B2227" w:rsidRDefault="0037075D" w:rsidP="0037075D">
      <w:pPr>
        <w:rPr>
          <w:rFonts w:asciiTheme="minorBidi" w:hAnsiTheme="minorBidi"/>
          <w:b/>
          <w:bCs/>
          <w:sz w:val="40"/>
          <w:szCs w:val="40"/>
        </w:rPr>
      </w:pPr>
      <w:r w:rsidRPr="00547EC8">
        <w:rPr>
          <w:rFonts w:asciiTheme="minorBidi" w:hAnsiTheme="minorBidi"/>
          <w:b/>
          <w:bCs/>
          <w:sz w:val="40"/>
          <w:szCs w:val="40"/>
        </w:rPr>
        <w:t xml:space="preserve">References </w:t>
      </w:r>
    </w:p>
    <w:p w14:paraId="013BBDF7" w14:textId="77777777" w:rsidR="007B2227" w:rsidRPr="007B2227" w:rsidRDefault="007B2227" w:rsidP="007B2227">
      <w:pPr>
        <w:rPr>
          <w:rFonts w:asciiTheme="minorBidi" w:hAnsiTheme="minorBidi"/>
          <w:i/>
          <w:iCs/>
        </w:rPr>
      </w:pPr>
      <w:r w:rsidRPr="007B2227">
        <w:rPr>
          <w:rFonts w:asciiTheme="minorBidi" w:hAnsiTheme="minorBidi"/>
          <w:i/>
          <w:iCs/>
        </w:rPr>
        <w:t xml:space="preserve">DEN, P. (2026) Alimat Jinadu (Presentation) DEN Conference 2026.pptx, Google Docs. Available at: </w:t>
      </w:r>
      <w:hyperlink r:id="rId6" w:history="1">
        <w:r w:rsidRPr="007B2227">
          <w:rPr>
            <w:rStyle w:val="Hyperlink"/>
            <w:rFonts w:asciiTheme="minorBidi" w:hAnsiTheme="minorBidi"/>
            <w:i/>
            <w:iCs/>
          </w:rPr>
          <w:t>https://docs.google.com/presentation/d/1OteJ9fOkX_IL-gAKfvR8yQx9KQ_6iv6D/edit?usp=drive_link&amp;ouid=105079669879096503841&amp;rtpof=true&amp;sd=true</w:t>
        </w:r>
      </w:hyperlink>
      <w:r w:rsidRPr="007B2227">
        <w:rPr>
          <w:rFonts w:asciiTheme="minorBidi" w:hAnsiTheme="minorBidi"/>
          <w:i/>
          <w:iCs/>
        </w:rPr>
        <w:t xml:space="preserve">  (Accessed: 5 June 2026).</w:t>
      </w:r>
    </w:p>
    <w:p w14:paraId="053D57A8" w14:textId="77777777" w:rsidR="0037075D" w:rsidRPr="00F204D7" w:rsidRDefault="0037075D" w:rsidP="0037075D">
      <w:pPr>
        <w:rPr>
          <w:rFonts w:asciiTheme="minorBidi" w:hAnsiTheme="minorBidi"/>
        </w:rPr>
      </w:pPr>
    </w:p>
    <w:p w14:paraId="1D5880FB" w14:textId="77777777" w:rsidR="0037075D" w:rsidRPr="007B2227" w:rsidRDefault="0037075D" w:rsidP="0037075D">
      <w:pPr>
        <w:rPr>
          <w:rFonts w:asciiTheme="minorBidi" w:hAnsiTheme="minorBidi"/>
        </w:rPr>
      </w:pPr>
      <w:r w:rsidRPr="00F204D7">
        <w:rPr>
          <w:rFonts w:asciiTheme="minorBidi" w:hAnsiTheme="minorBidi"/>
        </w:rPr>
        <w:t xml:space="preserve">Freire, P. (1970) </w:t>
      </w:r>
      <w:r w:rsidRPr="00F204D7">
        <w:rPr>
          <w:rFonts w:asciiTheme="minorBidi" w:hAnsiTheme="minorBidi"/>
          <w:i/>
          <w:iCs/>
        </w:rPr>
        <w:t>Pedagogy of the oppressed</w:t>
      </w:r>
      <w:r w:rsidRPr="00F204D7">
        <w:rPr>
          <w:rFonts w:asciiTheme="minorBidi" w:hAnsiTheme="minorBidi"/>
        </w:rPr>
        <w:t>. Translated by M. B. Ramos. New York: Continuum.</w:t>
      </w:r>
      <w:r w:rsidRPr="007B2227">
        <w:rPr>
          <w:rFonts w:asciiTheme="minorBidi" w:hAnsiTheme="minorBidi"/>
        </w:rPr>
        <w:t xml:space="preserve"> </w:t>
      </w:r>
      <w:r w:rsidRPr="00F204D7">
        <w:rPr>
          <w:rFonts w:asciiTheme="minorBidi" w:hAnsiTheme="minorBidi"/>
        </w:rPr>
        <w:t xml:space="preserve">Available at: </w:t>
      </w:r>
      <w:hyperlink r:id="rId7" w:history="1">
        <w:r w:rsidRPr="007B2227">
          <w:rPr>
            <w:rStyle w:val="Hyperlink"/>
            <w:rFonts w:asciiTheme="minorBidi" w:hAnsiTheme="minorBidi"/>
          </w:rPr>
          <w:t>https://fsi-ebcao.princeton.edu/sites/g/files/toruqf1411/files/media/freire.pdf</w:t>
        </w:r>
      </w:hyperlink>
      <w:r w:rsidRPr="007B2227">
        <w:rPr>
          <w:rFonts w:asciiTheme="minorBidi" w:hAnsiTheme="minorBidi"/>
        </w:rPr>
        <w:t xml:space="preserve"> </w:t>
      </w:r>
      <w:r w:rsidRPr="00F204D7">
        <w:rPr>
          <w:rFonts w:asciiTheme="minorBidi" w:hAnsiTheme="minorBidi"/>
        </w:rPr>
        <w:t>(Accessed: 5 June 2026).</w:t>
      </w:r>
    </w:p>
    <w:p w14:paraId="29C23020" w14:textId="77777777" w:rsidR="007B2227" w:rsidRPr="007B2227" w:rsidRDefault="007B2227" w:rsidP="007B2227">
      <w:pPr>
        <w:rPr>
          <w:rFonts w:asciiTheme="minorBidi" w:hAnsiTheme="minorBidi"/>
        </w:rPr>
      </w:pPr>
      <w:r w:rsidRPr="007B2227">
        <w:rPr>
          <w:rFonts w:asciiTheme="minorBidi" w:hAnsiTheme="minorBidi"/>
          <w:i/>
          <w:iCs/>
        </w:rPr>
        <w:lastRenderedPageBreak/>
        <w:t>GOGO Teachers’ Association: Laureate of the UNESCO ICT in Education</w:t>
      </w:r>
      <w:r w:rsidRPr="007B2227">
        <w:rPr>
          <w:rFonts w:asciiTheme="minorBidi" w:hAnsiTheme="minorBidi"/>
        </w:rPr>
        <w:t> (2019) </w:t>
      </w:r>
      <w:r w:rsidRPr="007B2227">
        <w:rPr>
          <w:rFonts w:asciiTheme="minorBidi" w:hAnsiTheme="minorBidi"/>
          <w:i/>
          <w:iCs/>
        </w:rPr>
        <w:t>Unesco.org</w:t>
      </w:r>
      <w:r w:rsidRPr="007B2227">
        <w:rPr>
          <w:rFonts w:asciiTheme="minorBidi" w:hAnsiTheme="minorBidi"/>
        </w:rPr>
        <w:t xml:space="preserve">. Available at: </w:t>
      </w:r>
      <w:hyperlink r:id="rId8" w:history="1">
        <w:r w:rsidRPr="007B2227">
          <w:rPr>
            <w:rStyle w:val="Hyperlink"/>
            <w:rFonts w:asciiTheme="minorBidi" w:hAnsiTheme="minorBidi"/>
          </w:rPr>
          <w:t>https://www.unesco.org/en/articles/gogo-teachers-association-laureate-unesco-ict-education-prize</w:t>
        </w:r>
      </w:hyperlink>
      <w:r w:rsidRPr="007B2227">
        <w:rPr>
          <w:rFonts w:asciiTheme="minorBidi" w:hAnsiTheme="minorBidi"/>
        </w:rPr>
        <w:t xml:space="preserve"> (Accessed: 5 June 2026).</w:t>
      </w:r>
    </w:p>
    <w:p w14:paraId="2E91C869" w14:textId="77777777" w:rsidR="007B2227" w:rsidRPr="007B2227" w:rsidRDefault="007B2227" w:rsidP="0037075D">
      <w:pPr>
        <w:rPr>
          <w:rFonts w:asciiTheme="minorBidi" w:hAnsiTheme="minorBidi"/>
        </w:rPr>
      </w:pPr>
    </w:p>
    <w:p w14:paraId="25CFA571" w14:textId="77777777" w:rsidR="007B2227" w:rsidRPr="007B2227" w:rsidRDefault="007B2227" w:rsidP="007B2227">
      <w:pPr>
        <w:rPr>
          <w:rFonts w:asciiTheme="minorBidi" w:hAnsiTheme="minorBidi"/>
          <w:i/>
          <w:iCs/>
        </w:rPr>
      </w:pPr>
      <w:proofErr w:type="spellStart"/>
      <w:r w:rsidRPr="007B2227">
        <w:rPr>
          <w:rFonts w:asciiTheme="minorBidi" w:hAnsiTheme="minorBidi"/>
        </w:rPr>
        <w:t>Merrington</w:t>
      </w:r>
      <w:proofErr w:type="spellEnd"/>
      <w:r w:rsidRPr="007B2227">
        <w:rPr>
          <w:rFonts w:asciiTheme="minorBidi" w:hAnsiTheme="minorBidi"/>
        </w:rPr>
        <w:t>, A. (2024) </w:t>
      </w:r>
      <w:r w:rsidRPr="007B2227">
        <w:rPr>
          <w:rFonts w:asciiTheme="minorBidi" w:hAnsiTheme="minorBidi"/>
          <w:i/>
          <w:iCs/>
        </w:rPr>
        <w:t>Students graduate from global learning programme focused on real-world sustainability challenges</w:t>
      </w:r>
      <w:r w:rsidRPr="007B2227">
        <w:rPr>
          <w:rFonts w:asciiTheme="minorBidi" w:hAnsiTheme="minorBidi"/>
        </w:rPr>
        <w:t>, </w:t>
      </w:r>
      <w:r w:rsidRPr="007B2227">
        <w:rPr>
          <w:rFonts w:asciiTheme="minorBidi" w:hAnsiTheme="minorBidi"/>
          <w:i/>
          <w:iCs/>
        </w:rPr>
        <w:t>News</w:t>
      </w:r>
      <w:r w:rsidRPr="007B2227">
        <w:rPr>
          <w:rFonts w:asciiTheme="minorBidi" w:hAnsiTheme="minorBidi"/>
        </w:rPr>
        <w:t xml:space="preserve">. Available at: </w:t>
      </w:r>
      <w:hyperlink r:id="rId9" w:history="1">
        <w:r w:rsidRPr="007B2227">
          <w:rPr>
            <w:rStyle w:val="Hyperlink"/>
            <w:rFonts w:asciiTheme="minorBidi" w:hAnsiTheme="minorBidi"/>
          </w:rPr>
          <w:t>https://news.exeter.ac.uk/student/students-graduate-from-global-learning-programme-focused-on-real-world-sustainability-challenges/</w:t>
        </w:r>
      </w:hyperlink>
      <w:r w:rsidRPr="007B2227">
        <w:rPr>
          <w:rFonts w:asciiTheme="minorBidi" w:hAnsiTheme="minorBidi"/>
        </w:rPr>
        <w:t xml:space="preserve">. </w:t>
      </w:r>
      <w:r w:rsidRPr="007B2227">
        <w:rPr>
          <w:rFonts w:asciiTheme="minorBidi" w:hAnsiTheme="minorBidi"/>
          <w:i/>
          <w:iCs/>
        </w:rPr>
        <w:t>(Accessed: 5 June 2026).</w:t>
      </w:r>
    </w:p>
    <w:p w14:paraId="77161925" w14:textId="77777777" w:rsidR="007B2227" w:rsidRPr="007B2227" w:rsidRDefault="007B2227" w:rsidP="0037075D">
      <w:pPr>
        <w:rPr>
          <w:rFonts w:asciiTheme="minorBidi" w:hAnsiTheme="minorBidi"/>
        </w:rPr>
      </w:pPr>
    </w:p>
    <w:p w14:paraId="5747C01B" w14:textId="77777777" w:rsidR="0037075D" w:rsidRPr="007B2227" w:rsidRDefault="0037075D" w:rsidP="0037075D">
      <w:pPr>
        <w:rPr>
          <w:rFonts w:asciiTheme="minorBidi" w:hAnsiTheme="minorBidi"/>
        </w:rPr>
      </w:pPr>
      <w:r w:rsidRPr="00F204D7">
        <w:rPr>
          <w:rFonts w:asciiTheme="minorBidi" w:hAnsiTheme="minorBidi"/>
        </w:rPr>
        <w:t xml:space="preserve">Sen, A. (1999) </w:t>
      </w:r>
      <w:r w:rsidRPr="00F204D7">
        <w:rPr>
          <w:rFonts w:asciiTheme="minorBidi" w:hAnsiTheme="minorBidi"/>
          <w:i/>
          <w:iCs/>
        </w:rPr>
        <w:t>Development as freedom</w:t>
      </w:r>
      <w:r w:rsidRPr="00F204D7">
        <w:rPr>
          <w:rFonts w:asciiTheme="minorBidi" w:hAnsiTheme="minorBidi"/>
        </w:rPr>
        <w:t>. Oxford: Oxford University Press.</w:t>
      </w:r>
      <w:r w:rsidRPr="00F204D7">
        <w:rPr>
          <w:rFonts w:asciiTheme="minorBidi" w:hAnsiTheme="minorBidi"/>
        </w:rPr>
        <w:br/>
        <w:t xml:space="preserve">Available at: </w:t>
      </w:r>
      <w:r w:rsidRPr="007B2227">
        <w:rPr>
          <w:rFonts w:asciiTheme="minorBidi" w:hAnsiTheme="minorBidi"/>
        </w:rPr>
        <w:t xml:space="preserve"> </w:t>
      </w:r>
      <w:hyperlink r:id="rId10" w:history="1">
        <w:r w:rsidRPr="007B2227">
          <w:rPr>
            <w:rStyle w:val="Hyperlink"/>
            <w:rFonts w:asciiTheme="minorBidi" w:hAnsiTheme="minorBidi"/>
          </w:rPr>
          <w:t>https://ia600706.us.archive.org/21/items/politicsDEEPWEB/Development%20as%20Freedom%20-%20Amartya%20Sen.pdf</w:t>
        </w:r>
      </w:hyperlink>
      <w:r w:rsidRPr="00F204D7">
        <w:rPr>
          <w:rFonts w:asciiTheme="minorBidi" w:hAnsiTheme="minorBidi"/>
        </w:rPr>
        <w:t>(Accessed: 5 June 2026).</w:t>
      </w:r>
    </w:p>
    <w:p w14:paraId="76A1A186" w14:textId="1B6BEBDE" w:rsidR="0037075D" w:rsidRPr="00547EC8" w:rsidRDefault="0037075D" w:rsidP="0037075D">
      <w:pPr>
        <w:rPr>
          <w:rFonts w:asciiTheme="minorBidi" w:hAnsiTheme="minorBidi"/>
        </w:rPr>
      </w:pPr>
    </w:p>
    <w:p w14:paraId="6129781C" w14:textId="2A0AA36A" w:rsidR="0037075D" w:rsidRPr="007B2227" w:rsidRDefault="0037075D" w:rsidP="007B2227">
      <w:pPr>
        <w:rPr>
          <w:rFonts w:asciiTheme="minorBidi" w:hAnsiTheme="minorBidi"/>
        </w:rPr>
      </w:pPr>
      <w:r w:rsidRPr="007B2227">
        <w:rPr>
          <w:rFonts w:asciiTheme="minorBidi" w:hAnsiTheme="minorBidi"/>
        </w:rPr>
        <w:t> </w:t>
      </w:r>
    </w:p>
    <w:p w14:paraId="0EF1BA91" w14:textId="77777777" w:rsidR="0037075D" w:rsidRPr="007B2227" w:rsidRDefault="0037075D" w:rsidP="0037075D">
      <w:pPr>
        <w:rPr>
          <w:rFonts w:asciiTheme="minorBidi" w:hAnsiTheme="minorBidi"/>
        </w:rPr>
      </w:pPr>
    </w:p>
    <w:sectPr w:rsidR="0037075D" w:rsidRPr="007B22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modern"/>
    <w:pitch w:val="fixed"/>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roman"/>
    <w:pitch w:val="default"/>
  </w:font>
  <w:font w:name="DengXian Light">
    <w:altName w:val="等线 Light"/>
    <w:panose1 w:val="02010600030101010101"/>
    <w:charset w:val="86"/>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A394E"/>
    <w:multiLevelType w:val="multilevel"/>
    <w:tmpl w:val="535E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32340"/>
    <w:multiLevelType w:val="multilevel"/>
    <w:tmpl w:val="2CE8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B7CD1"/>
    <w:multiLevelType w:val="multilevel"/>
    <w:tmpl w:val="4912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6344976">
    <w:abstractNumId w:val="2"/>
  </w:num>
  <w:num w:numId="2" w16cid:durableId="1437288533">
    <w:abstractNumId w:val="0"/>
  </w:num>
  <w:num w:numId="3" w16cid:durableId="1711222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C8"/>
    <w:rsid w:val="000906BF"/>
    <w:rsid w:val="00154B7E"/>
    <w:rsid w:val="00272477"/>
    <w:rsid w:val="002B67F3"/>
    <w:rsid w:val="002D507C"/>
    <w:rsid w:val="0037075D"/>
    <w:rsid w:val="00507B2C"/>
    <w:rsid w:val="00547EC8"/>
    <w:rsid w:val="005C7161"/>
    <w:rsid w:val="00770979"/>
    <w:rsid w:val="007B2227"/>
    <w:rsid w:val="007E072C"/>
    <w:rsid w:val="00966157"/>
    <w:rsid w:val="00B47830"/>
    <w:rsid w:val="00C56385"/>
    <w:rsid w:val="00E84B6E"/>
    <w:rsid w:val="00F204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88E0F"/>
  <w15:chartTrackingRefBased/>
  <w15:docId w15:val="{478DB022-2E32-4F2D-89A4-741B0DEE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E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EC8"/>
    <w:rPr>
      <w:rFonts w:eastAsiaTheme="majorEastAsia" w:cstheme="majorBidi"/>
      <w:color w:val="272727" w:themeColor="text1" w:themeTint="D8"/>
    </w:rPr>
  </w:style>
  <w:style w:type="paragraph" w:styleId="Title">
    <w:name w:val="Title"/>
    <w:basedOn w:val="Normal"/>
    <w:next w:val="Normal"/>
    <w:link w:val="TitleChar"/>
    <w:uiPriority w:val="10"/>
    <w:qFormat/>
    <w:rsid w:val="00547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EC8"/>
    <w:pPr>
      <w:spacing w:before="160"/>
      <w:jc w:val="center"/>
    </w:pPr>
    <w:rPr>
      <w:i/>
      <w:iCs/>
      <w:color w:val="404040" w:themeColor="text1" w:themeTint="BF"/>
    </w:rPr>
  </w:style>
  <w:style w:type="character" w:customStyle="1" w:styleId="QuoteChar">
    <w:name w:val="Quote Char"/>
    <w:basedOn w:val="DefaultParagraphFont"/>
    <w:link w:val="Quote"/>
    <w:uiPriority w:val="29"/>
    <w:rsid w:val="00547EC8"/>
    <w:rPr>
      <w:i/>
      <w:iCs/>
      <w:color w:val="404040" w:themeColor="text1" w:themeTint="BF"/>
    </w:rPr>
  </w:style>
  <w:style w:type="paragraph" w:styleId="ListParagraph">
    <w:name w:val="List Paragraph"/>
    <w:basedOn w:val="Normal"/>
    <w:uiPriority w:val="34"/>
    <w:qFormat/>
    <w:rsid w:val="00547EC8"/>
    <w:pPr>
      <w:ind w:left="720"/>
      <w:contextualSpacing/>
    </w:pPr>
  </w:style>
  <w:style w:type="character" w:styleId="IntenseEmphasis">
    <w:name w:val="Intense Emphasis"/>
    <w:basedOn w:val="DefaultParagraphFont"/>
    <w:uiPriority w:val="21"/>
    <w:qFormat/>
    <w:rsid w:val="00547EC8"/>
    <w:rPr>
      <w:i/>
      <w:iCs/>
      <w:color w:val="0F4761" w:themeColor="accent1" w:themeShade="BF"/>
    </w:rPr>
  </w:style>
  <w:style w:type="paragraph" w:styleId="IntenseQuote">
    <w:name w:val="Intense Quote"/>
    <w:basedOn w:val="Normal"/>
    <w:next w:val="Normal"/>
    <w:link w:val="IntenseQuoteChar"/>
    <w:uiPriority w:val="30"/>
    <w:qFormat/>
    <w:rsid w:val="00547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EC8"/>
    <w:rPr>
      <w:i/>
      <w:iCs/>
      <w:color w:val="0F4761" w:themeColor="accent1" w:themeShade="BF"/>
    </w:rPr>
  </w:style>
  <w:style w:type="character" w:styleId="IntenseReference">
    <w:name w:val="Intense Reference"/>
    <w:basedOn w:val="DefaultParagraphFont"/>
    <w:uiPriority w:val="32"/>
    <w:qFormat/>
    <w:rsid w:val="00547EC8"/>
    <w:rPr>
      <w:b/>
      <w:bCs/>
      <w:smallCaps/>
      <w:color w:val="0F4761" w:themeColor="accent1" w:themeShade="BF"/>
      <w:spacing w:val="5"/>
    </w:rPr>
  </w:style>
  <w:style w:type="character" w:styleId="Hyperlink">
    <w:name w:val="Hyperlink"/>
    <w:basedOn w:val="DefaultParagraphFont"/>
    <w:uiPriority w:val="99"/>
    <w:unhideWhenUsed/>
    <w:rsid w:val="00547EC8"/>
    <w:rPr>
      <w:color w:val="467886" w:themeColor="hyperlink"/>
      <w:u w:val="single"/>
    </w:rPr>
  </w:style>
  <w:style w:type="character" w:styleId="UnresolvedMention">
    <w:name w:val="Unresolved Mention"/>
    <w:basedOn w:val="DefaultParagraphFont"/>
    <w:uiPriority w:val="99"/>
    <w:semiHidden/>
    <w:unhideWhenUsed/>
    <w:rsid w:val="00547EC8"/>
    <w:rPr>
      <w:color w:val="605E5C"/>
      <w:shd w:val="clear" w:color="auto" w:fill="E1DFDD"/>
    </w:rPr>
  </w:style>
  <w:style w:type="character" w:styleId="FollowedHyperlink">
    <w:name w:val="FollowedHyperlink"/>
    <w:basedOn w:val="DefaultParagraphFont"/>
    <w:uiPriority w:val="99"/>
    <w:semiHidden/>
    <w:unhideWhenUsed/>
    <w:rsid w:val="00547E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2850">
      <w:bodyDiv w:val="1"/>
      <w:marLeft w:val="0"/>
      <w:marRight w:val="0"/>
      <w:marTop w:val="0"/>
      <w:marBottom w:val="0"/>
      <w:divBdr>
        <w:top w:val="none" w:sz="0" w:space="0" w:color="auto"/>
        <w:left w:val="none" w:sz="0" w:space="0" w:color="auto"/>
        <w:bottom w:val="none" w:sz="0" w:space="0" w:color="auto"/>
        <w:right w:val="none" w:sz="0" w:space="0" w:color="auto"/>
      </w:divBdr>
      <w:divsChild>
        <w:div w:id="1255475854">
          <w:marLeft w:val="0"/>
          <w:marRight w:val="0"/>
          <w:marTop w:val="0"/>
          <w:marBottom w:val="0"/>
          <w:divBdr>
            <w:top w:val="none" w:sz="0" w:space="0" w:color="auto"/>
            <w:left w:val="none" w:sz="0" w:space="0" w:color="auto"/>
            <w:bottom w:val="none" w:sz="0" w:space="0" w:color="auto"/>
            <w:right w:val="none" w:sz="0" w:space="0" w:color="auto"/>
          </w:divBdr>
        </w:div>
      </w:divsChild>
    </w:div>
    <w:div w:id="207766523">
      <w:bodyDiv w:val="1"/>
      <w:marLeft w:val="0"/>
      <w:marRight w:val="0"/>
      <w:marTop w:val="0"/>
      <w:marBottom w:val="0"/>
      <w:divBdr>
        <w:top w:val="none" w:sz="0" w:space="0" w:color="auto"/>
        <w:left w:val="none" w:sz="0" w:space="0" w:color="auto"/>
        <w:bottom w:val="none" w:sz="0" w:space="0" w:color="auto"/>
        <w:right w:val="none" w:sz="0" w:space="0" w:color="auto"/>
      </w:divBdr>
      <w:divsChild>
        <w:div w:id="181674747">
          <w:marLeft w:val="0"/>
          <w:marRight w:val="0"/>
          <w:marTop w:val="0"/>
          <w:marBottom w:val="0"/>
          <w:divBdr>
            <w:top w:val="none" w:sz="0" w:space="0" w:color="auto"/>
            <w:left w:val="none" w:sz="0" w:space="0" w:color="auto"/>
            <w:bottom w:val="none" w:sz="0" w:space="0" w:color="auto"/>
            <w:right w:val="none" w:sz="0" w:space="0" w:color="auto"/>
          </w:divBdr>
        </w:div>
      </w:divsChild>
    </w:div>
    <w:div w:id="254674689">
      <w:bodyDiv w:val="1"/>
      <w:marLeft w:val="0"/>
      <w:marRight w:val="0"/>
      <w:marTop w:val="0"/>
      <w:marBottom w:val="0"/>
      <w:divBdr>
        <w:top w:val="none" w:sz="0" w:space="0" w:color="auto"/>
        <w:left w:val="none" w:sz="0" w:space="0" w:color="auto"/>
        <w:bottom w:val="none" w:sz="0" w:space="0" w:color="auto"/>
        <w:right w:val="none" w:sz="0" w:space="0" w:color="auto"/>
      </w:divBdr>
      <w:divsChild>
        <w:div w:id="366877645">
          <w:marLeft w:val="0"/>
          <w:marRight w:val="0"/>
          <w:marTop w:val="0"/>
          <w:marBottom w:val="0"/>
          <w:divBdr>
            <w:top w:val="none" w:sz="0" w:space="0" w:color="auto"/>
            <w:left w:val="none" w:sz="0" w:space="0" w:color="auto"/>
            <w:bottom w:val="none" w:sz="0" w:space="0" w:color="auto"/>
            <w:right w:val="none" w:sz="0" w:space="0" w:color="auto"/>
          </w:divBdr>
        </w:div>
      </w:divsChild>
    </w:div>
    <w:div w:id="328215698">
      <w:bodyDiv w:val="1"/>
      <w:marLeft w:val="0"/>
      <w:marRight w:val="0"/>
      <w:marTop w:val="0"/>
      <w:marBottom w:val="0"/>
      <w:divBdr>
        <w:top w:val="none" w:sz="0" w:space="0" w:color="auto"/>
        <w:left w:val="none" w:sz="0" w:space="0" w:color="auto"/>
        <w:bottom w:val="none" w:sz="0" w:space="0" w:color="auto"/>
        <w:right w:val="none" w:sz="0" w:space="0" w:color="auto"/>
      </w:divBdr>
      <w:divsChild>
        <w:div w:id="1756972714">
          <w:marLeft w:val="0"/>
          <w:marRight w:val="0"/>
          <w:marTop w:val="0"/>
          <w:marBottom w:val="0"/>
          <w:divBdr>
            <w:top w:val="none" w:sz="0" w:space="0" w:color="auto"/>
            <w:left w:val="none" w:sz="0" w:space="0" w:color="auto"/>
            <w:bottom w:val="none" w:sz="0" w:space="0" w:color="auto"/>
            <w:right w:val="none" w:sz="0" w:space="0" w:color="auto"/>
          </w:divBdr>
        </w:div>
      </w:divsChild>
    </w:div>
    <w:div w:id="561402496">
      <w:bodyDiv w:val="1"/>
      <w:marLeft w:val="0"/>
      <w:marRight w:val="0"/>
      <w:marTop w:val="0"/>
      <w:marBottom w:val="0"/>
      <w:divBdr>
        <w:top w:val="none" w:sz="0" w:space="0" w:color="auto"/>
        <w:left w:val="none" w:sz="0" w:space="0" w:color="auto"/>
        <w:bottom w:val="none" w:sz="0" w:space="0" w:color="auto"/>
        <w:right w:val="none" w:sz="0" w:space="0" w:color="auto"/>
      </w:divBdr>
      <w:divsChild>
        <w:div w:id="708575783">
          <w:marLeft w:val="0"/>
          <w:marRight w:val="0"/>
          <w:marTop w:val="0"/>
          <w:marBottom w:val="0"/>
          <w:divBdr>
            <w:top w:val="none" w:sz="0" w:space="0" w:color="auto"/>
            <w:left w:val="none" w:sz="0" w:space="0" w:color="auto"/>
            <w:bottom w:val="none" w:sz="0" w:space="0" w:color="auto"/>
            <w:right w:val="none" w:sz="0" w:space="0" w:color="auto"/>
          </w:divBdr>
        </w:div>
      </w:divsChild>
    </w:div>
    <w:div w:id="588202566">
      <w:bodyDiv w:val="1"/>
      <w:marLeft w:val="0"/>
      <w:marRight w:val="0"/>
      <w:marTop w:val="0"/>
      <w:marBottom w:val="0"/>
      <w:divBdr>
        <w:top w:val="none" w:sz="0" w:space="0" w:color="auto"/>
        <w:left w:val="none" w:sz="0" w:space="0" w:color="auto"/>
        <w:bottom w:val="none" w:sz="0" w:space="0" w:color="auto"/>
        <w:right w:val="none" w:sz="0" w:space="0" w:color="auto"/>
      </w:divBdr>
      <w:divsChild>
        <w:div w:id="1180899254">
          <w:marLeft w:val="0"/>
          <w:marRight w:val="0"/>
          <w:marTop w:val="0"/>
          <w:marBottom w:val="0"/>
          <w:divBdr>
            <w:top w:val="none" w:sz="0" w:space="0" w:color="auto"/>
            <w:left w:val="none" w:sz="0" w:space="0" w:color="auto"/>
            <w:bottom w:val="none" w:sz="0" w:space="0" w:color="auto"/>
            <w:right w:val="none" w:sz="0" w:space="0" w:color="auto"/>
          </w:divBdr>
        </w:div>
      </w:divsChild>
    </w:div>
    <w:div w:id="647903857">
      <w:bodyDiv w:val="1"/>
      <w:marLeft w:val="0"/>
      <w:marRight w:val="0"/>
      <w:marTop w:val="0"/>
      <w:marBottom w:val="0"/>
      <w:divBdr>
        <w:top w:val="none" w:sz="0" w:space="0" w:color="auto"/>
        <w:left w:val="none" w:sz="0" w:space="0" w:color="auto"/>
        <w:bottom w:val="none" w:sz="0" w:space="0" w:color="auto"/>
        <w:right w:val="none" w:sz="0" w:space="0" w:color="auto"/>
      </w:divBdr>
      <w:divsChild>
        <w:div w:id="803616492">
          <w:marLeft w:val="0"/>
          <w:marRight w:val="0"/>
          <w:marTop w:val="0"/>
          <w:marBottom w:val="0"/>
          <w:divBdr>
            <w:top w:val="none" w:sz="0" w:space="0" w:color="auto"/>
            <w:left w:val="none" w:sz="0" w:space="0" w:color="auto"/>
            <w:bottom w:val="none" w:sz="0" w:space="0" w:color="auto"/>
            <w:right w:val="none" w:sz="0" w:space="0" w:color="auto"/>
          </w:divBdr>
        </w:div>
      </w:divsChild>
    </w:div>
    <w:div w:id="672490443">
      <w:bodyDiv w:val="1"/>
      <w:marLeft w:val="0"/>
      <w:marRight w:val="0"/>
      <w:marTop w:val="0"/>
      <w:marBottom w:val="0"/>
      <w:divBdr>
        <w:top w:val="none" w:sz="0" w:space="0" w:color="auto"/>
        <w:left w:val="none" w:sz="0" w:space="0" w:color="auto"/>
        <w:bottom w:val="none" w:sz="0" w:space="0" w:color="auto"/>
        <w:right w:val="none" w:sz="0" w:space="0" w:color="auto"/>
      </w:divBdr>
      <w:divsChild>
        <w:div w:id="1519971">
          <w:marLeft w:val="0"/>
          <w:marRight w:val="0"/>
          <w:marTop w:val="0"/>
          <w:marBottom w:val="0"/>
          <w:divBdr>
            <w:top w:val="none" w:sz="0" w:space="0" w:color="auto"/>
            <w:left w:val="none" w:sz="0" w:space="0" w:color="auto"/>
            <w:bottom w:val="none" w:sz="0" w:space="0" w:color="auto"/>
            <w:right w:val="none" w:sz="0" w:space="0" w:color="auto"/>
          </w:divBdr>
        </w:div>
      </w:divsChild>
    </w:div>
    <w:div w:id="680668441">
      <w:bodyDiv w:val="1"/>
      <w:marLeft w:val="0"/>
      <w:marRight w:val="0"/>
      <w:marTop w:val="0"/>
      <w:marBottom w:val="0"/>
      <w:divBdr>
        <w:top w:val="none" w:sz="0" w:space="0" w:color="auto"/>
        <w:left w:val="none" w:sz="0" w:space="0" w:color="auto"/>
        <w:bottom w:val="none" w:sz="0" w:space="0" w:color="auto"/>
        <w:right w:val="none" w:sz="0" w:space="0" w:color="auto"/>
      </w:divBdr>
      <w:divsChild>
        <w:div w:id="813721074">
          <w:marLeft w:val="0"/>
          <w:marRight w:val="0"/>
          <w:marTop w:val="0"/>
          <w:marBottom w:val="0"/>
          <w:divBdr>
            <w:top w:val="none" w:sz="0" w:space="0" w:color="auto"/>
            <w:left w:val="none" w:sz="0" w:space="0" w:color="auto"/>
            <w:bottom w:val="none" w:sz="0" w:space="0" w:color="auto"/>
            <w:right w:val="none" w:sz="0" w:space="0" w:color="auto"/>
          </w:divBdr>
        </w:div>
      </w:divsChild>
    </w:div>
    <w:div w:id="772164304">
      <w:bodyDiv w:val="1"/>
      <w:marLeft w:val="0"/>
      <w:marRight w:val="0"/>
      <w:marTop w:val="0"/>
      <w:marBottom w:val="0"/>
      <w:divBdr>
        <w:top w:val="none" w:sz="0" w:space="0" w:color="auto"/>
        <w:left w:val="none" w:sz="0" w:space="0" w:color="auto"/>
        <w:bottom w:val="none" w:sz="0" w:space="0" w:color="auto"/>
        <w:right w:val="none" w:sz="0" w:space="0" w:color="auto"/>
      </w:divBdr>
      <w:divsChild>
        <w:div w:id="1426221615">
          <w:marLeft w:val="0"/>
          <w:marRight w:val="0"/>
          <w:marTop w:val="0"/>
          <w:marBottom w:val="0"/>
          <w:divBdr>
            <w:top w:val="none" w:sz="0" w:space="0" w:color="auto"/>
            <w:left w:val="none" w:sz="0" w:space="0" w:color="auto"/>
            <w:bottom w:val="none" w:sz="0" w:space="0" w:color="auto"/>
            <w:right w:val="none" w:sz="0" w:space="0" w:color="auto"/>
          </w:divBdr>
        </w:div>
      </w:divsChild>
    </w:div>
    <w:div w:id="813764490">
      <w:bodyDiv w:val="1"/>
      <w:marLeft w:val="0"/>
      <w:marRight w:val="0"/>
      <w:marTop w:val="0"/>
      <w:marBottom w:val="0"/>
      <w:divBdr>
        <w:top w:val="none" w:sz="0" w:space="0" w:color="auto"/>
        <w:left w:val="none" w:sz="0" w:space="0" w:color="auto"/>
        <w:bottom w:val="none" w:sz="0" w:space="0" w:color="auto"/>
        <w:right w:val="none" w:sz="0" w:space="0" w:color="auto"/>
      </w:divBdr>
      <w:divsChild>
        <w:div w:id="1495729384">
          <w:marLeft w:val="0"/>
          <w:marRight w:val="0"/>
          <w:marTop w:val="0"/>
          <w:marBottom w:val="0"/>
          <w:divBdr>
            <w:top w:val="none" w:sz="0" w:space="0" w:color="auto"/>
            <w:left w:val="none" w:sz="0" w:space="0" w:color="auto"/>
            <w:bottom w:val="none" w:sz="0" w:space="0" w:color="auto"/>
            <w:right w:val="none" w:sz="0" w:space="0" w:color="auto"/>
          </w:divBdr>
        </w:div>
      </w:divsChild>
    </w:div>
    <w:div w:id="842934266">
      <w:bodyDiv w:val="1"/>
      <w:marLeft w:val="0"/>
      <w:marRight w:val="0"/>
      <w:marTop w:val="0"/>
      <w:marBottom w:val="0"/>
      <w:divBdr>
        <w:top w:val="none" w:sz="0" w:space="0" w:color="auto"/>
        <w:left w:val="none" w:sz="0" w:space="0" w:color="auto"/>
        <w:bottom w:val="none" w:sz="0" w:space="0" w:color="auto"/>
        <w:right w:val="none" w:sz="0" w:space="0" w:color="auto"/>
      </w:divBdr>
      <w:divsChild>
        <w:div w:id="1535731660">
          <w:marLeft w:val="0"/>
          <w:marRight w:val="0"/>
          <w:marTop w:val="0"/>
          <w:marBottom w:val="0"/>
          <w:divBdr>
            <w:top w:val="none" w:sz="0" w:space="0" w:color="auto"/>
            <w:left w:val="none" w:sz="0" w:space="0" w:color="auto"/>
            <w:bottom w:val="none" w:sz="0" w:space="0" w:color="auto"/>
            <w:right w:val="none" w:sz="0" w:space="0" w:color="auto"/>
          </w:divBdr>
        </w:div>
      </w:divsChild>
    </w:div>
    <w:div w:id="969168788">
      <w:bodyDiv w:val="1"/>
      <w:marLeft w:val="0"/>
      <w:marRight w:val="0"/>
      <w:marTop w:val="0"/>
      <w:marBottom w:val="0"/>
      <w:divBdr>
        <w:top w:val="none" w:sz="0" w:space="0" w:color="auto"/>
        <w:left w:val="none" w:sz="0" w:space="0" w:color="auto"/>
        <w:bottom w:val="none" w:sz="0" w:space="0" w:color="auto"/>
        <w:right w:val="none" w:sz="0" w:space="0" w:color="auto"/>
      </w:divBdr>
      <w:divsChild>
        <w:div w:id="1528371136">
          <w:marLeft w:val="0"/>
          <w:marRight w:val="0"/>
          <w:marTop w:val="0"/>
          <w:marBottom w:val="0"/>
          <w:divBdr>
            <w:top w:val="none" w:sz="0" w:space="0" w:color="auto"/>
            <w:left w:val="none" w:sz="0" w:space="0" w:color="auto"/>
            <w:bottom w:val="none" w:sz="0" w:space="0" w:color="auto"/>
            <w:right w:val="none" w:sz="0" w:space="0" w:color="auto"/>
          </w:divBdr>
        </w:div>
      </w:divsChild>
    </w:div>
    <w:div w:id="1195730879">
      <w:bodyDiv w:val="1"/>
      <w:marLeft w:val="0"/>
      <w:marRight w:val="0"/>
      <w:marTop w:val="0"/>
      <w:marBottom w:val="0"/>
      <w:divBdr>
        <w:top w:val="none" w:sz="0" w:space="0" w:color="auto"/>
        <w:left w:val="none" w:sz="0" w:space="0" w:color="auto"/>
        <w:bottom w:val="none" w:sz="0" w:space="0" w:color="auto"/>
        <w:right w:val="none" w:sz="0" w:space="0" w:color="auto"/>
      </w:divBdr>
      <w:divsChild>
        <w:div w:id="1232734297">
          <w:marLeft w:val="0"/>
          <w:marRight w:val="0"/>
          <w:marTop w:val="0"/>
          <w:marBottom w:val="0"/>
          <w:divBdr>
            <w:top w:val="none" w:sz="0" w:space="0" w:color="auto"/>
            <w:left w:val="none" w:sz="0" w:space="0" w:color="auto"/>
            <w:bottom w:val="none" w:sz="0" w:space="0" w:color="auto"/>
            <w:right w:val="none" w:sz="0" w:space="0" w:color="auto"/>
          </w:divBdr>
        </w:div>
      </w:divsChild>
    </w:div>
    <w:div w:id="1310982394">
      <w:bodyDiv w:val="1"/>
      <w:marLeft w:val="0"/>
      <w:marRight w:val="0"/>
      <w:marTop w:val="0"/>
      <w:marBottom w:val="0"/>
      <w:divBdr>
        <w:top w:val="none" w:sz="0" w:space="0" w:color="auto"/>
        <w:left w:val="none" w:sz="0" w:space="0" w:color="auto"/>
        <w:bottom w:val="none" w:sz="0" w:space="0" w:color="auto"/>
        <w:right w:val="none" w:sz="0" w:space="0" w:color="auto"/>
      </w:divBdr>
      <w:divsChild>
        <w:div w:id="515847417">
          <w:marLeft w:val="0"/>
          <w:marRight w:val="0"/>
          <w:marTop w:val="0"/>
          <w:marBottom w:val="0"/>
          <w:divBdr>
            <w:top w:val="none" w:sz="0" w:space="0" w:color="auto"/>
            <w:left w:val="none" w:sz="0" w:space="0" w:color="auto"/>
            <w:bottom w:val="none" w:sz="0" w:space="0" w:color="auto"/>
            <w:right w:val="none" w:sz="0" w:space="0" w:color="auto"/>
          </w:divBdr>
        </w:div>
      </w:divsChild>
    </w:div>
    <w:div w:id="1325232964">
      <w:bodyDiv w:val="1"/>
      <w:marLeft w:val="0"/>
      <w:marRight w:val="0"/>
      <w:marTop w:val="0"/>
      <w:marBottom w:val="0"/>
      <w:divBdr>
        <w:top w:val="none" w:sz="0" w:space="0" w:color="auto"/>
        <w:left w:val="none" w:sz="0" w:space="0" w:color="auto"/>
        <w:bottom w:val="none" w:sz="0" w:space="0" w:color="auto"/>
        <w:right w:val="none" w:sz="0" w:space="0" w:color="auto"/>
      </w:divBdr>
      <w:divsChild>
        <w:div w:id="619994994">
          <w:marLeft w:val="0"/>
          <w:marRight w:val="0"/>
          <w:marTop w:val="0"/>
          <w:marBottom w:val="0"/>
          <w:divBdr>
            <w:top w:val="none" w:sz="0" w:space="0" w:color="auto"/>
            <w:left w:val="none" w:sz="0" w:space="0" w:color="auto"/>
            <w:bottom w:val="none" w:sz="0" w:space="0" w:color="auto"/>
            <w:right w:val="none" w:sz="0" w:space="0" w:color="auto"/>
          </w:divBdr>
        </w:div>
      </w:divsChild>
    </w:div>
    <w:div w:id="1344236258">
      <w:bodyDiv w:val="1"/>
      <w:marLeft w:val="0"/>
      <w:marRight w:val="0"/>
      <w:marTop w:val="0"/>
      <w:marBottom w:val="0"/>
      <w:divBdr>
        <w:top w:val="none" w:sz="0" w:space="0" w:color="auto"/>
        <w:left w:val="none" w:sz="0" w:space="0" w:color="auto"/>
        <w:bottom w:val="none" w:sz="0" w:space="0" w:color="auto"/>
        <w:right w:val="none" w:sz="0" w:space="0" w:color="auto"/>
      </w:divBdr>
      <w:divsChild>
        <w:div w:id="1116020804">
          <w:marLeft w:val="0"/>
          <w:marRight w:val="0"/>
          <w:marTop w:val="0"/>
          <w:marBottom w:val="0"/>
          <w:divBdr>
            <w:top w:val="none" w:sz="0" w:space="0" w:color="auto"/>
            <w:left w:val="none" w:sz="0" w:space="0" w:color="auto"/>
            <w:bottom w:val="none" w:sz="0" w:space="0" w:color="auto"/>
            <w:right w:val="none" w:sz="0" w:space="0" w:color="auto"/>
          </w:divBdr>
        </w:div>
      </w:divsChild>
    </w:div>
    <w:div w:id="1356611990">
      <w:bodyDiv w:val="1"/>
      <w:marLeft w:val="0"/>
      <w:marRight w:val="0"/>
      <w:marTop w:val="0"/>
      <w:marBottom w:val="0"/>
      <w:divBdr>
        <w:top w:val="none" w:sz="0" w:space="0" w:color="auto"/>
        <w:left w:val="none" w:sz="0" w:space="0" w:color="auto"/>
        <w:bottom w:val="none" w:sz="0" w:space="0" w:color="auto"/>
        <w:right w:val="none" w:sz="0" w:space="0" w:color="auto"/>
      </w:divBdr>
      <w:divsChild>
        <w:div w:id="1685277366">
          <w:marLeft w:val="0"/>
          <w:marRight w:val="0"/>
          <w:marTop w:val="0"/>
          <w:marBottom w:val="0"/>
          <w:divBdr>
            <w:top w:val="none" w:sz="0" w:space="0" w:color="auto"/>
            <w:left w:val="none" w:sz="0" w:space="0" w:color="auto"/>
            <w:bottom w:val="none" w:sz="0" w:space="0" w:color="auto"/>
            <w:right w:val="none" w:sz="0" w:space="0" w:color="auto"/>
          </w:divBdr>
        </w:div>
      </w:divsChild>
    </w:div>
    <w:div w:id="1377197839">
      <w:bodyDiv w:val="1"/>
      <w:marLeft w:val="0"/>
      <w:marRight w:val="0"/>
      <w:marTop w:val="0"/>
      <w:marBottom w:val="0"/>
      <w:divBdr>
        <w:top w:val="none" w:sz="0" w:space="0" w:color="auto"/>
        <w:left w:val="none" w:sz="0" w:space="0" w:color="auto"/>
        <w:bottom w:val="none" w:sz="0" w:space="0" w:color="auto"/>
        <w:right w:val="none" w:sz="0" w:space="0" w:color="auto"/>
      </w:divBdr>
      <w:divsChild>
        <w:div w:id="1825122022">
          <w:marLeft w:val="0"/>
          <w:marRight w:val="0"/>
          <w:marTop w:val="0"/>
          <w:marBottom w:val="0"/>
          <w:divBdr>
            <w:top w:val="none" w:sz="0" w:space="0" w:color="auto"/>
            <w:left w:val="none" w:sz="0" w:space="0" w:color="auto"/>
            <w:bottom w:val="none" w:sz="0" w:space="0" w:color="auto"/>
            <w:right w:val="none" w:sz="0" w:space="0" w:color="auto"/>
          </w:divBdr>
        </w:div>
      </w:divsChild>
    </w:div>
    <w:div w:id="1418018320">
      <w:bodyDiv w:val="1"/>
      <w:marLeft w:val="0"/>
      <w:marRight w:val="0"/>
      <w:marTop w:val="0"/>
      <w:marBottom w:val="0"/>
      <w:divBdr>
        <w:top w:val="none" w:sz="0" w:space="0" w:color="auto"/>
        <w:left w:val="none" w:sz="0" w:space="0" w:color="auto"/>
        <w:bottom w:val="none" w:sz="0" w:space="0" w:color="auto"/>
        <w:right w:val="none" w:sz="0" w:space="0" w:color="auto"/>
      </w:divBdr>
      <w:divsChild>
        <w:div w:id="2056612333">
          <w:marLeft w:val="0"/>
          <w:marRight w:val="0"/>
          <w:marTop w:val="0"/>
          <w:marBottom w:val="0"/>
          <w:divBdr>
            <w:top w:val="none" w:sz="0" w:space="0" w:color="auto"/>
            <w:left w:val="none" w:sz="0" w:space="0" w:color="auto"/>
            <w:bottom w:val="none" w:sz="0" w:space="0" w:color="auto"/>
            <w:right w:val="none" w:sz="0" w:space="0" w:color="auto"/>
          </w:divBdr>
        </w:div>
      </w:divsChild>
    </w:div>
    <w:div w:id="1510561136">
      <w:bodyDiv w:val="1"/>
      <w:marLeft w:val="0"/>
      <w:marRight w:val="0"/>
      <w:marTop w:val="0"/>
      <w:marBottom w:val="0"/>
      <w:divBdr>
        <w:top w:val="none" w:sz="0" w:space="0" w:color="auto"/>
        <w:left w:val="none" w:sz="0" w:space="0" w:color="auto"/>
        <w:bottom w:val="none" w:sz="0" w:space="0" w:color="auto"/>
        <w:right w:val="none" w:sz="0" w:space="0" w:color="auto"/>
      </w:divBdr>
      <w:divsChild>
        <w:div w:id="1466579501">
          <w:marLeft w:val="0"/>
          <w:marRight w:val="0"/>
          <w:marTop w:val="0"/>
          <w:marBottom w:val="0"/>
          <w:divBdr>
            <w:top w:val="none" w:sz="0" w:space="0" w:color="auto"/>
            <w:left w:val="none" w:sz="0" w:space="0" w:color="auto"/>
            <w:bottom w:val="none" w:sz="0" w:space="0" w:color="auto"/>
            <w:right w:val="none" w:sz="0" w:space="0" w:color="auto"/>
          </w:divBdr>
        </w:div>
      </w:divsChild>
    </w:div>
    <w:div w:id="1596941439">
      <w:bodyDiv w:val="1"/>
      <w:marLeft w:val="0"/>
      <w:marRight w:val="0"/>
      <w:marTop w:val="0"/>
      <w:marBottom w:val="0"/>
      <w:divBdr>
        <w:top w:val="none" w:sz="0" w:space="0" w:color="auto"/>
        <w:left w:val="none" w:sz="0" w:space="0" w:color="auto"/>
        <w:bottom w:val="none" w:sz="0" w:space="0" w:color="auto"/>
        <w:right w:val="none" w:sz="0" w:space="0" w:color="auto"/>
      </w:divBdr>
      <w:divsChild>
        <w:div w:id="777219996">
          <w:marLeft w:val="0"/>
          <w:marRight w:val="0"/>
          <w:marTop w:val="0"/>
          <w:marBottom w:val="0"/>
          <w:divBdr>
            <w:top w:val="none" w:sz="0" w:space="0" w:color="auto"/>
            <w:left w:val="none" w:sz="0" w:space="0" w:color="auto"/>
            <w:bottom w:val="none" w:sz="0" w:space="0" w:color="auto"/>
            <w:right w:val="none" w:sz="0" w:space="0" w:color="auto"/>
          </w:divBdr>
        </w:div>
      </w:divsChild>
    </w:div>
    <w:div w:id="1605847491">
      <w:bodyDiv w:val="1"/>
      <w:marLeft w:val="0"/>
      <w:marRight w:val="0"/>
      <w:marTop w:val="0"/>
      <w:marBottom w:val="0"/>
      <w:divBdr>
        <w:top w:val="none" w:sz="0" w:space="0" w:color="auto"/>
        <w:left w:val="none" w:sz="0" w:space="0" w:color="auto"/>
        <w:bottom w:val="none" w:sz="0" w:space="0" w:color="auto"/>
        <w:right w:val="none" w:sz="0" w:space="0" w:color="auto"/>
      </w:divBdr>
      <w:divsChild>
        <w:div w:id="907306824">
          <w:marLeft w:val="0"/>
          <w:marRight w:val="0"/>
          <w:marTop w:val="0"/>
          <w:marBottom w:val="0"/>
          <w:divBdr>
            <w:top w:val="none" w:sz="0" w:space="0" w:color="auto"/>
            <w:left w:val="none" w:sz="0" w:space="0" w:color="auto"/>
            <w:bottom w:val="none" w:sz="0" w:space="0" w:color="auto"/>
            <w:right w:val="none" w:sz="0" w:space="0" w:color="auto"/>
          </w:divBdr>
        </w:div>
      </w:divsChild>
    </w:div>
    <w:div w:id="1750229809">
      <w:bodyDiv w:val="1"/>
      <w:marLeft w:val="0"/>
      <w:marRight w:val="0"/>
      <w:marTop w:val="0"/>
      <w:marBottom w:val="0"/>
      <w:divBdr>
        <w:top w:val="none" w:sz="0" w:space="0" w:color="auto"/>
        <w:left w:val="none" w:sz="0" w:space="0" w:color="auto"/>
        <w:bottom w:val="none" w:sz="0" w:space="0" w:color="auto"/>
        <w:right w:val="none" w:sz="0" w:space="0" w:color="auto"/>
      </w:divBdr>
      <w:divsChild>
        <w:div w:id="1973293006">
          <w:marLeft w:val="0"/>
          <w:marRight w:val="0"/>
          <w:marTop w:val="0"/>
          <w:marBottom w:val="0"/>
          <w:divBdr>
            <w:top w:val="none" w:sz="0" w:space="0" w:color="auto"/>
            <w:left w:val="none" w:sz="0" w:space="0" w:color="auto"/>
            <w:bottom w:val="none" w:sz="0" w:space="0" w:color="auto"/>
            <w:right w:val="none" w:sz="0" w:space="0" w:color="auto"/>
          </w:divBdr>
        </w:div>
      </w:divsChild>
    </w:div>
    <w:div w:id="1785995543">
      <w:bodyDiv w:val="1"/>
      <w:marLeft w:val="0"/>
      <w:marRight w:val="0"/>
      <w:marTop w:val="0"/>
      <w:marBottom w:val="0"/>
      <w:divBdr>
        <w:top w:val="none" w:sz="0" w:space="0" w:color="auto"/>
        <w:left w:val="none" w:sz="0" w:space="0" w:color="auto"/>
        <w:bottom w:val="none" w:sz="0" w:space="0" w:color="auto"/>
        <w:right w:val="none" w:sz="0" w:space="0" w:color="auto"/>
      </w:divBdr>
      <w:divsChild>
        <w:div w:id="170027171">
          <w:marLeft w:val="0"/>
          <w:marRight w:val="0"/>
          <w:marTop w:val="0"/>
          <w:marBottom w:val="0"/>
          <w:divBdr>
            <w:top w:val="none" w:sz="0" w:space="0" w:color="auto"/>
            <w:left w:val="none" w:sz="0" w:space="0" w:color="auto"/>
            <w:bottom w:val="none" w:sz="0" w:space="0" w:color="auto"/>
            <w:right w:val="none" w:sz="0" w:space="0" w:color="auto"/>
          </w:divBdr>
        </w:div>
      </w:divsChild>
    </w:div>
    <w:div w:id="1885823552">
      <w:bodyDiv w:val="1"/>
      <w:marLeft w:val="0"/>
      <w:marRight w:val="0"/>
      <w:marTop w:val="0"/>
      <w:marBottom w:val="0"/>
      <w:divBdr>
        <w:top w:val="none" w:sz="0" w:space="0" w:color="auto"/>
        <w:left w:val="none" w:sz="0" w:space="0" w:color="auto"/>
        <w:bottom w:val="none" w:sz="0" w:space="0" w:color="auto"/>
        <w:right w:val="none" w:sz="0" w:space="0" w:color="auto"/>
      </w:divBdr>
      <w:divsChild>
        <w:div w:id="583339319">
          <w:marLeft w:val="0"/>
          <w:marRight w:val="0"/>
          <w:marTop w:val="0"/>
          <w:marBottom w:val="0"/>
          <w:divBdr>
            <w:top w:val="none" w:sz="0" w:space="0" w:color="auto"/>
            <w:left w:val="none" w:sz="0" w:space="0" w:color="auto"/>
            <w:bottom w:val="none" w:sz="0" w:space="0" w:color="auto"/>
            <w:right w:val="none" w:sz="0" w:space="0" w:color="auto"/>
          </w:divBdr>
        </w:div>
      </w:divsChild>
    </w:div>
    <w:div w:id="1987273901">
      <w:bodyDiv w:val="1"/>
      <w:marLeft w:val="0"/>
      <w:marRight w:val="0"/>
      <w:marTop w:val="0"/>
      <w:marBottom w:val="0"/>
      <w:divBdr>
        <w:top w:val="none" w:sz="0" w:space="0" w:color="auto"/>
        <w:left w:val="none" w:sz="0" w:space="0" w:color="auto"/>
        <w:bottom w:val="none" w:sz="0" w:space="0" w:color="auto"/>
        <w:right w:val="none" w:sz="0" w:space="0" w:color="auto"/>
      </w:divBdr>
      <w:divsChild>
        <w:div w:id="1736663857">
          <w:marLeft w:val="0"/>
          <w:marRight w:val="0"/>
          <w:marTop w:val="0"/>
          <w:marBottom w:val="0"/>
          <w:divBdr>
            <w:top w:val="none" w:sz="0" w:space="0" w:color="auto"/>
            <w:left w:val="none" w:sz="0" w:space="0" w:color="auto"/>
            <w:bottom w:val="none" w:sz="0" w:space="0" w:color="auto"/>
            <w:right w:val="none" w:sz="0" w:space="0" w:color="auto"/>
          </w:divBdr>
        </w:div>
      </w:divsChild>
    </w:div>
    <w:div w:id="2022119548">
      <w:bodyDiv w:val="1"/>
      <w:marLeft w:val="0"/>
      <w:marRight w:val="0"/>
      <w:marTop w:val="0"/>
      <w:marBottom w:val="0"/>
      <w:divBdr>
        <w:top w:val="none" w:sz="0" w:space="0" w:color="auto"/>
        <w:left w:val="none" w:sz="0" w:space="0" w:color="auto"/>
        <w:bottom w:val="none" w:sz="0" w:space="0" w:color="auto"/>
        <w:right w:val="none" w:sz="0" w:space="0" w:color="auto"/>
      </w:divBdr>
      <w:divsChild>
        <w:div w:id="1491024883">
          <w:marLeft w:val="0"/>
          <w:marRight w:val="0"/>
          <w:marTop w:val="0"/>
          <w:marBottom w:val="0"/>
          <w:divBdr>
            <w:top w:val="none" w:sz="0" w:space="0" w:color="auto"/>
            <w:left w:val="none" w:sz="0" w:space="0" w:color="auto"/>
            <w:bottom w:val="none" w:sz="0" w:space="0" w:color="auto"/>
            <w:right w:val="none" w:sz="0" w:space="0" w:color="auto"/>
          </w:divBdr>
        </w:div>
      </w:divsChild>
    </w:div>
    <w:div w:id="2034181852">
      <w:bodyDiv w:val="1"/>
      <w:marLeft w:val="0"/>
      <w:marRight w:val="0"/>
      <w:marTop w:val="0"/>
      <w:marBottom w:val="0"/>
      <w:divBdr>
        <w:top w:val="none" w:sz="0" w:space="0" w:color="auto"/>
        <w:left w:val="none" w:sz="0" w:space="0" w:color="auto"/>
        <w:bottom w:val="none" w:sz="0" w:space="0" w:color="auto"/>
        <w:right w:val="none" w:sz="0" w:space="0" w:color="auto"/>
      </w:divBdr>
      <w:divsChild>
        <w:div w:id="1536772915">
          <w:marLeft w:val="0"/>
          <w:marRight w:val="0"/>
          <w:marTop w:val="0"/>
          <w:marBottom w:val="0"/>
          <w:divBdr>
            <w:top w:val="none" w:sz="0" w:space="0" w:color="auto"/>
            <w:left w:val="none" w:sz="0" w:space="0" w:color="auto"/>
            <w:bottom w:val="none" w:sz="0" w:space="0" w:color="auto"/>
            <w:right w:val="none" w:sz="0" w:space="0" w:color="auto"/>
          </w:divBdr>
        </w:div>
      </w:divsChild>
    </w:div>
    <w:div w:id="2131243875">
      <w:bodyDiv w:val="1"/>
      <w:marLeft w:val="0"/>
      <w:marRight w:val="0"/>
      <w:marTop w:val="0"/>
      <w:marBottom w:val="0"/>
      <w:divBdr>
        <w:top w:val="none" w:sz="0" w:space="0" w:color="auto"/>
        <w:left w:val="none" w:sz="0" w:space="0" w:color="auto"/>
        <w:bottom w:val="none" w:sz="0" w:space="0" w:color="auto"/>
        <w:right w:val="none" w:sz="0" w:space="0" w:color="auto"/>
      </w:divBdr>
      <w:divsChild>
        <w:div w:id="1960182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sco.org/en/articles/gogo-teachers-association-laureate-unesco-ict-education-prize" TargetMode="External"/><Relationship Id="rId3" Type="http://schemas.openxmlformats.org/officeDocument/2006/relationships/settings" Target="settings.xml"/><Relationship Id="rId7" Type="http://schemas.openxmlformats.org/officeDocument/2006/relationships/hyperlink" Target="https://fsi-ebcao.princeton.edu/sites/g/files/toruqf1411/files/media/freire.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presentation/d/1OteJ9fOkX_IL-gAKfvR8yQx9KQ_6iv6D/edit?usp=drive_link&amp;ouid=105079669879096503841&amp;rtpof=true&amp;sd=tru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ia600706.us.archive.org/21/items/politicsDEEPWEB/Development%20as%20Freedom%20-%20Amartya%20Sen.pdf" TargetMode="External"/><Relationship Id="rId4" Type="http://schemas.openxmlformats.org/officeDocument/2006/relationships/webSettings" Target="webSettings.xml"/><Relationship Id="rId9" Type="http://schemas.openxmlformats.org/officeDocument/2006/relationships/hyperlink" Target="https://news.exeter.ac.uk/student/students-graduate-from-global-learning-programme-focused-on-real-world-sustainability-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5572</Words>
  <Characters>31762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Alimat Jinadu</dc:creator>
  <cp:keywords/>
  <dc:description/>
  <cp:lastModifiedBy>Alimat Jinadu</cp:lastModifiedBy>
  <cp:revision>2</cp:revision>
  <dcterms:created xsi:type="dcterms:W3CDTF">2026-06-12T19:51:00Z</dcterms:created>
  <dcterms:modified xsi:type="dcterms:W3CDTF">2026-06-12T19:51:00Z</dcterms:modified>
</cp:coreProperties>
</file>